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B2C1" w14:textId="784059C3" w:rsidR="008A1C28" w:rsidRPr="008C0E28" w:rsidRDefault="7C0A2216" w:rsidP="7C0A2216">
      <w:pPr>
        <w:ind w:left="360"/>
        <w:jc w:val="center"/>
        <w:rPr>
          <w:rFonts w:ascii="Times New Roman" w:eastAsia="Franklin Gothic Book" w:hAnsi="Times New Roman" w:cs="Times New Roman"/>
          <w:b/>
          <w:bCs/>
          <w:color w:val="000000" w:themeColor="text1"/>
          <w:sz w:val="24"/>
          <w:szCs w:val="24"/>
        </w:rPr>
      </w:pPr>
      <w:r w:rsidRPr="008C0E28">
        <w:rPr>
          <w:rFonts w:ascii="Times New Roman" w:eastAsia="Franklin Gothic Book" w:hAnsi="Times New Roman" w:cs="Times New Roman"/>
          <w:b/>
          <w:bCs/>
          <w:color w:val="000000" w:themeColor="text1"/>
          <w:sz w:val="24"/>
          <w:szCs w:val="24"/>
        </w:rPr>
        <w:t xml:space="preserve">HOW TO USE THE </w:t>
      </w:r>
      <w:r w:rsidR="00235D04">
        <w:rPr>
          <w:rFonts w:ascii="Times New Roman" w:eastAsia="Franklin Gothic Book" w:hAnsi="Times New Roman" w:cs="Times New Roman"/>
          <w:b/>
          <w:bCs/>
          <w:color w:val="000000" w:themeColor="text1"/>
          <w:sz w:val="24"/>
          <w:szCs w:val="24"/>
        </w:rPr>
        <w:t>MENTORING VIRGINIA</w:t>
      </w:r>
      <w:r w:rsidRPr="008C0E28">
        <w:rPr>
          <w:rFonts w:ascii="Times New Roman" w:eastAsia="Franklin Gothic Book" w:hAnsi="Times New Roman" w:cs="Times New Roman"/>
          <w:b/>
          <w:bCs/>
          <w:color w:val="000000" w:themeColor="text1"/>
          <w:sz w:val="24"/>
          <w:szCs w:val="24"/>
        </w:rPr>
        <w:t xml:space="preserve"> WEBSITE</w:t>
      </w:r>
    </w:p>
    <w:p w14:paraId="4DAF2BC7" w14:textId="3DDDDD1E" w:rsidR="008A1C28" w:rsidRPr="008C0E28" w:rsidRDefault="7C0A2216" w:rsidP="7C0A2216">
      <w:pPr>
        <w:ind w:left="360"/>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 xml:space="preserve">The </w:t>
      </w:r>
      <w:r w:rsidR="00235D04">
        <w:rPr>
          <w:rFonts w:ascii="Times New Roman" w:eastAsia="Franklin Gothic Book" w:hAnsi="Times New Roman" w:cs="Times New Roman"/>
          <w:color w:val="000000" w:themeColor="text1"/>
          <w:sz w:val="24"/>
          <w:szCs w:val="24"/>
        </w:rPr>
        <w:t>Mentoring Virginia</w:t>
      </w:r>
      <w:r w:rsidRPr="008C0E28">
        <w:rPr>
          <w:rFonts w:ascii="Times New Roman" w:eastAsia="Franklin Gothic Book" w:hAnsi="Times New Roman" w:cs="Times New Roman"/>
          <w:color w:val="000000" w:themeColor="text1"/>
          <w:sz w:val="24"/>
          <w:szCs w:val="24"/>
        </w:rPr>
        <w:t xml:space="preserve"> website is designed to support mentor teacher training efforts in colleges of education and PK-12 schools. Although the materials were created with Virginia mentors in mind, they have broad applicability for school and university stakeholders across the US and abroad. </w:t>
      </w:r>
    </w:p>
    <w:p w14:paraId="255149B9" w14:textId="469C78ED" w:rsidR="008A1C28" w:rsidRPr="008C0E28" w:rsidRDefault="00235D04" w:rsidP="3821678B">
      <w:pPr>
        <w:ind w:left="360"/>
        <w:rPr>
          <w:rFonts w:ascii="Times New Roman" w:eastAsia="Franklin Gothic Book" w:hAnsi="Times New Roman" w:cs="Times New Roman"/>
          <w:color w:val="000000" w:themeColor="text1"/>
          <w:sz w:val="24"/>
          <w:szCs w:val="24"/>
        </w:rPr>
      </w:pPr>
      <w:r>
        <w:rPr>
          <w:rFonts w:ascii="Times New Roman" w:eastAsia="Franklin Gothic Book" w:hAnsi="Times New Roman" w:cs="Times New Roman"/>
          <w:color w:val="000000" w:themeColor="text1"/>
          <w:sz w:val="24"/>
          <w:szCs w:val="24"/>
        </w:rPr>
        <w:t>Mentoring Virginia</w:t>
      </w:r>
      <w:r w:rsidR="7C0A2216" w:rsidRPr="008C0E28">
        <w:rPr>
          <w:rFonts w:ascii="Times New Roman" w:eastAsia="Franklin Gothic Book" w:hAnsi="Times New Roman" w:cs="Times New Roman"/>
          <w:color w:val="000000" w:themeColor="text1"/>
          <w:sz w:val="24"/>
          <w:szCs w:val="24"/>
        </w:rPr>
        <w:t xml:space="preserve"> is comprised of two ‘layers’ of training. The five online asynchronous modules are intended to provide a foundation (the Essentials) for mentors. The lesson plans for the five synchronous (the Advanced) sessions revisit the content of the asynchronous sessions with a focus on application and reflection. </w:t>
      </w:r>
    </w:p>
    <w:p w14:paraId="4DAE5B28" w14:textId="270B6979" w:rsidR="008A1C28" w:rsidRPr="008C0E28" w:rsidRDefault="7C0A2216" w:rsidP="7C0A2216">
      <w:pPr>
        <w:ind w:left="360"/>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 xml:space="preserve">While the description above is one way in which the </w:t>
      </w:r>
      <w:r w:rsidR="00235D04">
        <w:rPr>
          <w:rFonts w:ascii="Times New Roman" w:eastAsia="Franklin Gothic Book" w:hAnsi="Times New Roman" w:cs="Times New Roman"/>
          <w:color w:val="000000" w:themeColor="text1"/>
          <w:sz w:val="24"/>
          <w:szCs w:val="24"/>
        </w:rPr>
        <w:t>Mentoring Virginia</w:t>
      </w:r>
      <w:r w:rsidRPr="008C0E28">
        <w:rPr>
          <w:rFonts w:ascii="Times New Roman" w:eastAsia="Franklin Gothic Book" w:hAnsi="Times New Roman" w:cs="Times New Roman"/>
          <w:color w:val="000000" w:themeColor="text1"/>
          <w:sz w:val="24"/>
          <w:szCs w:val="24"/>
        </w:rPr>
        <w:t xml:space="preserve"> materials can support mentor teacher preparation efforts, we believe the materials can be used in whole or in part in myriad ways to facilitate professional learning for stakeholders in teaching and teacher preparation. </w:t>
      </w:r>
    </w:p>
    <w:p w14:paraId="62EC097D" w14:textId="7F9F3CE4" w:rsidR="008A1C28" w:rsidRPr="008C0E28" w:rsidRDefault="008A1C28" w:rsidP="7C0A2216">
      <w:pPr>
        <w:ind w:left="360"/>
        <w:rPr>
          <w:rFonts w:ascii="Times New Roman" w:eastAsia="Franklin Gothic Book" w:hAnsi="Times New Roman" w:cs="Times New Roman"/>
          <w:color w:val="000000" w:themeColor="text1"/>
          <w:sz w:val="24"/>
          <w:szCs w:val="24"/>
        </w:rPr>
      </w:pPr>
    </w:p>
    <w:p w14:paraId="4A7B2446" w14:textId="01BB8E13" w:rsidR="008A1C28" w:rsidRPr="008C0E28" w:rsidRDefault="7C0A2216" w:rsidP="7C0A2216">
      <w:pPr>
        <w:ind w:left="360"/>
        <w:jc w:val="center"/>
        <w:rPr>
          <w:rFonts w:ascii="Times New Roman" w:eastAsia="Franklin Gothic Book" w:hAnsi="Times New Roman" w:cs="Times New Roman"/>
          <w:b/>
          <w:bCs/>
          <w:color w:val="000000" w:themeColor="text1"/>
          <w:sz w:val="24"/>
          <w:szCs w:val="24"/>
        </w:rPr>
      </w:pPr>
      <w:r w:rsidRPr="008C0E28">
        <w:rPr>
          <w:rFonts w:ascii="Times New Roman" w:eastAsia="Franklin Gothic Book" w:hAnsi="Times New Roman" w:cs="Times New Roman"/>
          <w:b/>
          <w:bCs/>
          <w:color w:val="000000" w:themeColor="text1"/>
          <w:sz w:val="24"/>
          <w:szCs w:val="24"/>
        </w:rPr>
        <w:t>HOW MIGHT YOU USE THE CONTENT?</w:t>
      </w:r>
    </w:p>
    <w:p w14:paraId="487F8879" w14:textId="146D14FE" w:rsidR="008A1C28" w:rsidRPr="008C0E28" w:rsidRDefault="7C0A2216" w:rsidP="7C0A2216">
      <w:pPr>
        <w:pStyle w:val="ListParagraph"/>
        <w:numPr>
          <w:ilvl w:val="0"/>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AS IS</w:t>
      </w:r>
    </w:p>
    <w:p w14:paraId="6D6C838D" w14:textId="15E29FF5" w:rsidR="008A1C28" w:rsidRPr="008C0E28" w:rsidRDefault="7C0A2216" w:rsidP="7C0A2216">
      <w:pPr>
        <w:pStyle w:val="ListParagraph"/>
        <w:numPr>
          <w:ilvl w:val="1"/>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 xml:space="preserve">The training can be used as it is written in its totality! </w:t>
      </w:r>
    </w:p>
    <w:p w14:paraId="0743A0CD" w14:textId="623B907C" w:rsidR="008A1C28" w:rsidRPr="008C0E28" w:rsidRDefault="7C0A2216" w:rsidP="3821678B">
      <w:pPr>
        <w:pStyle w:val="ListParagraph"/>
        <w:numPr>
          <w:ilvl w:val="1"/>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Have participants complete all five asynchronous modules as a ‘requirement’ before offering synchronous or face to face Advanced training sessions</w:t>
      </w:r>
      <w:r w:rsidR="008C0E28">
        <w:rPr>
          <w:rFonts w:ascii="Times New Roman" w:eastAsia="Franklin Gothic Book" w:hAnsi="Times New Roman" w:cs="Times New Roman"/>
          <w:color w:val="000000" w:themeColor="text1"/>
          <w:sz w:val="24"/>
          <w:szCs w:val="24"/>
        </w:rPr>
        <w:t>.</w:t>
      </w:r>
    </w:p>
    <w:p w14:paraId="6E51F979" w14:textId="19656760" w:rsidR="008A1C28" w:rsidRPr="008C0E28" w:rsidRDefault="7C0A2216" w:rsidP="3821678B">
      <w:pPr>
        <w:pStyle w:val="ListParagraph"/>
        <w:numPr>
          <w:ilvl w:val="1"/>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Have participants alternate the Essentials and Advanced modules. For example, participants could complete Asynchronous Module 1 and then attend Synchronous Module 1, continuing this rotation with the remaining modules (asynchronous Essential 2 followed by synchronous Advanced session 2)</w:t>
      </w:r>
      <w:r w:rsidR="008C0E28">
        <w:rPr>
          <w:rFonts w:ascii="Times New Roman" w:eastAsia="Franklin Gothic Book" w:hAnsi="Times New Roman" w:cs="Times New Roman"/>
          <w:color w:val="000000" w:themeColor="text1"/>
          <w:sz w:val="24"/>
          <w:szCs w:val="24"/>
        </w:rPr>
        <w:t>.</w:t>
      </w:r>
    </w:p>
    <w:p w14:paraId="58589CDA" w14:textId="0A1A36BF" w:rsidR="008A1C28" w:rsidRPr="008C0E28" w:rsidRDefault="7C0A2216" w:rsidP="7C0A2216">
      <w:pPr>
        <w:pStyle w:val="ListParagraph"/>
        <w:numPr>
          <w:ilvl w:val="0"/>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BITS AND PIECES</w:t>
      </w:r>
    </w:p>
    <w:p w14:paraId="556010EA" w14:textId="2222D13F" w:rsidR="008A1C28" w:rsidRPr="008C0E28" w:rsidRDefault="7C0A2216" w:rsidP="3821678B">
      <w:pPr>
        <w:pStyle w:val="ListParagraph"/>
        <w:numPr>
          <w:ilvl w:val="1"/>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Pick and choose the parts that fill gaps, supplement, or extend your current mentor preparation efforts</w:t>
      </w:r>
      <w:r w:rsidR="008C0E28">
        <w:rPr>
          <w:rFonts w:ascii="Times New Roman" w:eastAsia="Franklin Gothic Book" w:hAnsi="Times New Roman" w:cs="Times New Roman"/>
          <w:color w:val="000000" w:themeColor="text1"/>
          <w:sz w:val="24"/>
          <w:szCs w:val="24"/>
        </w:rPr>
        <w:t>.</w:t>
      </w:r>
    </w:p>
    <w:p w14:paraId="08434DB2" w14:textId="4D3B1273" w:rsidR="008A1C28" w:rsidRPr="008C0E28" w:rsidRDefault="7C0A2216" w:rsidP="7C0A2216">
      <w:pPr>
        <w:pStyle w:val="ListParagraph"/>
        <w:numPr>
          <w:ilvl w:val="0"/>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ASYNCHRONOUS, SYNCHR</w:t>
      </w:r>
      <w:r w:rsidR="008C0E28" w:rsidRPr="008C0E28">
        <w:rPr>
          <w:rFonts w:ascii="Times New Roman" w:eastAsia="Franklin Gothic Book" w:hAnsi="Times New Roman" w:cs="Times New Roman"/>
          <w:color w:val="000000" w:themeColor="text1"/>
          <w:sz w:val="24"/>
          <w:szCs w:val="24"/>
        </w:rPr>
        <w:t>ON</w:t>
      </w:r>
      <w:r w:rsidRPr="008C0E28">
        <w:rPr>
          <w:rFonts w:ascii="Times New Roman" w:eastAsia="Franklin Gothic Book" w:hAnsi="Times New Roman" w:cs="Times New Roman"/>
          <w:color w:val="000000" w:themeColor="text1"/>
          <w:sz w:val="24"/>
          <w:szCs w:val="24"/>
        </w:rPr>
        <w:t>OUS, FACE TO FACE</w:t>
      </w:r>
    </w:p>
    <w:p w14:paraId="15BFED57" w14:textId="7E7B059A" w:rsidR="008A1C28" w:rsidRPr="008C0E28" w:rsidRDefault="7C0A2216" w:rsidP="3821678B">
      <w:pPr>
        <w:pStyle w:val="ListParagraph"/>
        <w:numPr>
          <w:ilvl w:val="1"/>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The Essentials modules are designed as asynchronous, but the content and activities can be implemented synchronously or face</w:t>
      </w:r>
      <w:r w:rsidR="008C0E28" w:rsidRPr="008C0E28">
        <w:rPr>
          <w:rFonts w:ascii="Times New Roman" w:eastAsia="Franklin Gothic Book" w:hAnsi="Times New Roman" w:cs="Times New Roman"/>
          <w:color w:val="000000" w:themeColor="text1"/>
          <w:sz w:val="24"/>
          <w:szCs w:val="24"/>
        </w:rPr>
        <w:t>-</w:t>
      </w:r>
      <w:r w:rsidRPr="008C0E28">
        <w:rPr>
          <w:rFonts w:ascii="Times New Roman" w:eastAsia="Franklin Gothic Book" w:hAnsi="Times New Roman" w:cs="Times New Roman"/>
          <w:color w:val="000000" w:themeColor="text1"/>
          <w:sz w:val="24"/>
          <w:szCs w:val="24"/>
        </w:rPr>
        <w:t>to</w:t>
      </w:r>
      <w:r w:rsidR="008C0E28" w:rsidRPr="008C0E28">
        <w:rPr>
          <w:rFonts w:ascii="Times New Roman" w:eastAsia="Franklin Gothic Book" w:hAnsi="Times New Roman" w:cs="Times New Roman"/>
          <w:color w:val="000000" w:themeColor="text1"/>
          <w:sz w:val="24"/>
          <w:szCs w:val="24"/>
        </w:rPr>
        <w:t>-</w:t>
      </w:r>
      <w:r w:rsidRPr="008C0E28">
        <w:rPr>
          <w:rFonts w:ascii="Times New Roman" w:eastAsia="Franklin Gothic Book" w:hAnsi="Times New Roman" w:cs="Times New Roman"/>
          <w:color w:val="000000" w:themeColor="text1"/>
          <w:sz w:val="24"/>
          <w:szCs w:val="24"/>
        </w:rPr>
        <w:t xml:space="preserve">face. </w:t>
      </w:r>
    </w:p>
    <w:p w14:paraId="3DF59950" w14:textId="6E3F9C8B" w:rsidR="008A1C28" w:rsidRPr="008C0E28" w:rsidRDefault="7C0A2216" w:rsidP="3821678B">
      <w:pPr>
        <w:pStyle w:val="ListParagraph"/>
        <w:numPr>
          <w:ilvl w:val="1"/>
          <w:numId w:val="1"/>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 xml:space="preserve">The Advanced’ modules can be used in a </w:t>
      </w:r>
      <w:r w:rsidR="008C0E28" w:rsidRPr="008C0E28">
        <w:rPr>
          <w:rFonts w:ascii="Times New Roman" w:eastAsia="Franklin Gothic Book" w:hAnsi="Times New Roman" w:cs="Times New Roman"/>
          <w:color w:val="000000" w:themeColor="text1"/>
          <w:sz w:val="24"/>
          <w:szCs w:val="24"/>
        </w:rPr>
        <w:t>face-to-face</w:t>
      </w:r>
      <w:r w:rsidRPr="008C0E28">
        <w:rPr>
          <w:rFonts w:ascii="Times New Roman" w:eastAsia="Franklin Gothic Book" w:hAnsi="Times New Roman" w:cs="Times New Roman"/>
          <w:color w:val="000000" w:themeColor="text1"/>
          <w:sz w:val="24"/>
          <w:szCs w:val="24"/>
        </w:rPr>
        <w:t xml:space="preserve"> format.</w:t>
      </w:r>
      <w:r w:rsidR="008C0E28">
        <w:rPr>
          <w:rFonts w:ascii="Times New Roman" w:eastAsia="Franklin Gothic Book" w:hAnsi="Times New Roman" w:cs="Times New Roman"/>
          <w:color w:val="000000" w:themeColor="text1"/>
          <w:sz w:val="24"/>
          <w:szCs w:val="24"/>
        </w:rPr>
        <w:br/>
      </w:r>
    </w:p>
    <w:p w14:paraId="17EDCD54" w14:textId="3CABD8C0" w:rsidR="008A1C28" w:rsidRPr="008C0E28" w:rsidRDefault="7C0A2216" w:rsidP="7C0A2216">
      <w:pPr>
        <w:ind w:left="720"/>
        <w:jc w:val="center"/>
        <w:rPr>
          <w:rFonts w:ascii="Times New Roman" w:eastAsia="Franklin Gothic Book" w:hAnsi="Times New Roman" w:cs="Times New Roman"/>
          <w:b/>
          <w:bCs/>
          <w:color w:val="000000" w:themeColor="text1"/>
          <w:sz w:val="24"/>
          <w:szCs w:val="24"/>
        </w:rPr>
      </w:pPr>
      <w:r w:rsidRPr="008C0E28">
        <w:rPr>
          <w:rFonts w:ascii="Times New Roman" w:eastAsia="Franklin Gothic Book" w:hAnsi="Times New Roman" w:cs="Times New Roman"/>
          <w:b/>
          <w:bCs/>
          <w:color w:val="000000" w:themeColor="text1"/>
          <w:sz w:val="24"/>
          <w:szCs w:val="24"/>
        </w:rPr>
        <w:t>WHO MIGHT PARTICIPATE IN THE TRAINING</w:t>
      </w:r>
    </w:p>
    <w:p w14:paraId="21B04203" w14:textId="07EBD864" w:rsidR="008A1C28" w:rsidRPr="008C0E28" w:rsidRDefault="7C0A2216" w:rsidP="3821678B">
      <w:pPr>
        <w:pStyle w:val="ListParagraph"/>
        <w:numPr>
          <w:ilvl w:val="0"/>
          <w:numId w:val="2"/>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Mentors of new teachers, on-the-job provisionally licensed teachers, and/or teacher candidates</w:t>
      </w:r>
    </w:p>
    <w:p w14:paraId="609169E1" w14:textId="72687607" w:rsidR="008A1C28" w:rsidRPr="008C0E28" w:rsidRDefault="7C0A2216" w:rsidP="3821678B">
      <w:pPr>
        <w:pStyle w:val="ListParagraph"/>
        <w:numPr>
          <w:ilvl w:val="0"/>
          <w:numId w:val="2"/>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Mentor/mentee pairs might participate in all or parts of the training together</w:t>
      </w:r>
    </w:p>
    <w:p w14:paraId="157DA147" w14:textId="4D0CBCD5" w:rsidR="008A1C28" w:rsidRPr="008C0E28" w:rsidRDefault="7C0A2216" w:rsidP="3821678B">
      <w:pPr>
        <w:pStyle w:val="ListParagraph"/>
        <w:numPr>
          <w:ilvl w:val="0"/>
          <w:numId w:val="2"/>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University supervisors or clinical coaches supporting mentors and teacher candidates</w:t>
      </w:r>
    </w:p>
    <w:p w14:paraId="2C078E63" w14:textId="345982FD" w:rsidR="008A1C28" w:rsidRPr="008C0E28" w:rsidRDefault="7C0A2216" w:rsidP="7C0A2216">
      <w:pPr>
        <w:pStyle w:val="ListParagraph"/>
        <w:numPr>
          <w:ilvl w:val="0"/>
          <w:numId w:val="2"/>
        </w:numPr>
        <w:rPr>
          <w:rFonts w:ascii="Times New Roman" w:eastAsia="Franklin Gothic Book" w:hAnsi="Times New Roman" w:cs="Times New Roman"/>
          <w:color w:val="000000" w:themeColor="text1"/>
          <w:sz w:val="24"/>
          <w:szCs w:val="24"/>
        </w:rPr>
      </w:pPr>
      <w:r w:rsidRPr="008C0E28">
        <w:rPr>
          <w:rFonts w:ascii="Times New Roman" w:eastAsia="Franklin Gothic Book" w:hAnsi="Times New Roman" w:cs="Times New Roman"/>
          <w:color w:val="000000" w:themeColor="text1"/>
          <w:sz w:val="24"/>
          <w:szCs w:val="24"/>
        </w:rPr>
        <w:t>Administrators supporting mentors of new teachers and teacher candidates</w:t>
      </w:r>
    </w:p>
    <w:sectPr w:rsidR="008A1C28" w:rsidRPr="008C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DDFB"/>
    <w:multiLevelType w:val="hybridMultilevel"/>
    <w:tmpl w:val="4ABC84E4"/>
    <w:lvl w:ilvl="0" w:tplc="837826A2">
      <w:start w:val="1"/>
      <w:numFmt w:val="bullet"/>
      <w:lvlText w:val=""/>
      <w:lvlJc w:val="left"/>
      <w:pPr>
        <w:ind w:left="720" w:hanging="360"/>
      </w:pPr>
      <w:rPr>
        <w:rFonts w:ascii="Symbol" w:hAnsi="Symbol" w:hint="default"/>
      </w:rPr>
    </w:lvl>
    <w:lvl w:ilvl="1" w:tplc="A0EAA55A">
      <w:start w:val="1"/>
      <w:numFmt w:val="bullet"/>
      <w:lvlText w:val="o"/>
      <w:lvlJc w:val="left"/>
      <w:pPr>
        <w:ind w:left="1440" w:hanging="360"/>
      </w:pPr>
      <w:rPr>
        <w:rFonts w:ascii="Courier New" w:hAnsi="Courier New" w:hint="default"/>
      </w:rPr>
    </w:lvl>
    <w:lvl w:ilvl="2" w:tplc="00B6B722">
      <w:start w:val="1"/>
      <w:numFmt w:val="lowerRoman"/>
      <w:lvlText w:val="%3."/>
      <w:lvlJc w:val="right"/>
      <w:pPr>
        <w:ind w:left="2160" w:hanging="180"/>
      </w:pPr>
    </w:lvl>
    <w:lvl w:ilvl="3" w:tplc="0E842D42">
      <w:start w:val="1"/>
      <w:numFmt w:val="decimal"/>
      <w:lvlText w:val="%4."/>
      <w:lvlJc w:val="left"/>
      <w:pPr>
        <w:ind w:left="2880" w:hanging="360"/>
      </w:pPr>
    </w:lvl>
    <w:lvl w:ilvl="4" w:tplc="BA4CAE1C">
      <w:start w:val="1"/>
      <w:numFmt w:val="lowerLetter"/>
      <w:lvlText w:val="%5."/>
      <w:lvlJc w:val="left"/>
      <w:pPr>
        <w:ind w:left="3600" w:hanging="360"/>
      </w:pPr>
    </w:lvl>
    <w:lvl w:ilvl="5" w:tplc="E1DE84CE">
      <w:start w:val="1"/>
      <w:numFmt w:val="lowerRoman"/>
      <w:lvlText w:val="%6."/>
      <w:lvlJc w:val="right"/>
      <w:pPr>
        <w:ind w:left="4320" w:hanging="180"/>
      </w:pPr>
    </w:lvl>
    <w:lvl w:ilvl="6" w:tplc="3E18AEFE">
      <w:start w:val="1"/>
      <w:numFmt w:val="decimal"/>
      <w:lvlText w:val="%7."/>
      <w:lvlJc w:val="left"/>
      <w:pPr>
        <w:ind w:left="5040" w:hanging="360"/>
      </w:pPr>
    </w:lvl>
    <w:lvl w:ilvl="7" w:tplc="FBE2C432">
      <w:start w:val="1"/>
      <w:numFmt w:val="lowerLetter"/>
      <w:lvlText w:val="%8."/>
      <w:lvlJc w:val="left"/>
      <w:pPr>
        <w:ind w:left="5760" w:hanging="360"/>
      </w:pPr>
    </w:lvl>
    <w:lvl w:ilvl="8" w:tplc="4782B10C">
      <w:start w:val="1"/>
      <w:numFmt w:val="lowerRoman"/>
      <w:lvlText w:val="%9."/>
      <w:lvlJc w:val="right"/>
      <w:pPr>
        <w:ind w:left="6480" w:hanging="180"/>
      </w:pPr>
    </w:lvl>
  </w:abstractNum>
  <w:abstractNum w:abstractNumId="1" w15:restartNumberingAfterBreak="0">
    <w:nsid w:val="71AC8119"/>
    <w:multiLevelType w:val="hybridMultilevel"/>
    <w:tmpl w:val="CCB4C1D8"/>
    <w:lvl w:ilvl="0" w:tplc="1C5AF0A4">
      <w:start w:val="1"/>
      <w:numFmt w:val="bullet"/>
      <w:lvlText w:val=""/>
      <w:lvlJc w:val="left"/>
      <w:pPr>
        <w:ind w:left="720" w:hanging="360"/>
      </w:pPr>
      <w:rPr>
        <w:rFonts w:ascii="Symbol" w:hAnsi="Symbol" w:hint="default"/>
      </w:rPr>
    </w:lvl>
    <w:lvl w:ilvl="1" w:tplc="712871B8">
      <w:start w:val="1"/>
      <w:numFmt w:val="bullet"/>
      <w:lvlText w:val="o"/>
      <w:lvlJc w:val="left"/>
      <w:pPr>
        <w:ind w:left="1080" w:hanging="360"/>
      </w:pPr>
      <w:rPr>
        <w:rFonts w:ascii="Courier New" w:hAnsi="Courier New" w:hint="default"/>
      </w:rPr>
    </w:lvl>
    <w:lvl w:ilvl="2" w:tplc="19D6B008">
      <w:start w:val="1"/>
      <w:numFmt w:val="bullet"/>
      <w:lvlText w:val=""/>
      <w:lvlJc w:val="left"/>
      <w:pPr>
        <w:ind w:left="1800" w:hanging="360"/>
      </w:pPr>
      <w:rPr>
        <w:rFonts w:ascii="Wingdings" w:hAnsi="Wingdings" w:hint="default"/>
      </w:rPr>
    </w:lvl>
    <w:lvl w:ilvl="3" w:tplc="A3347506">
      <w:start w:val="1"/>
      <w:numFmt w:val="bullet"/>
      <w:lvlText w:val=""/>
      <w:lvlJc w:val="left"/>
      <w:pPr>
        <w:ind w:left="2520" w:hanging="360"/>
      </w:pPr>
      <w:rPr>
        <w:rFonts w:ascii="Symbol" w:hAnsi="Symbol" w:hint="default"/>
      </w:rPr>
    </w:lvl>
    <w:lvl w:ilvl="4" w:tplc="03E01E1C">
      <w:start w:val="1"/>
      <w:numFmt w:val="bullet"/>
      <w:lvlText w:val="o"/>
      <w:lvlJc w:val="left"/>
      <w:pPr>
        <w:ind w:left="3240" w:hanging="360"/>
      </w:pPr>
      <w:rPr>
        <w:rFonts w:ascii="Courier New" w:hAnsi="Courier New" w:hint="default"/>
      </w:rPr>
    </w:lvl>
    <w:lvl w:ilvl="5" w:tplc="9DBCD274">
      <w:start w:val="1"/>
      <w:numFmt w:val="bullet"/>
      <w:lvlText w:val=""/>
      <w:lvlJc w:val="left"/>
      <w:pPr>
        <w:ind w:left="3960" w:hanging="360"/>
      </w:pPr>
      <w:rPr>
        <w:rFonts w:ascii="Wingdings" w:hAnsi="Wingdings" w:hint="default"/>
      </w:rPr>
    </w:lvl>
    <w:lvl w:ilvl="6" w:tplc="61AA4E12">
      <w:start w:val="1"/>
      <w:numFmt w:val="bullet"/>
      <w:lvlText w:val=""/>
      <w:lvlJc w:val="left"/>
      <w:pPr>
        <w:ind w:left="4680" w:hanging="360"/>
      </w:pPr>
      <w:rPr>
        <w:rFonts w:ascii="Symbol" w:hAnsi="Symbol" w:hint="default"/>
      </w:rPr>
    </w:lvl>
    <w:lvl w:ilvl="7" w:tplc="73C247D4">
      <w:start w:val="1"/>
      <w:numFmt w:val="bullet"/>
      <w:lvlText w:val="o"/>
      <w:lvlJc w:val="left"/>
      <w:pPr>
        <w:ind w:left="5400" w:hanging="360"/>
      </w:pPr>
      <w:rPr>
        <w:rFonts w:ascii="Courier New" w:hAnsi="Courier New" w:hint="default"/>
      </w:rPr>
    </w:lvl>
    <w:lvl w:ilvl="8" w:tplc="DD885704">
      <w:start w:val="1"/>
      <w:numFmt w:val="bullet"/>
      <w:lvlText w:val=""/>
      <w:lvlJc w:val="left"/>
      <w:pPr>
        <w:ind w:left="6120" w:hanging="360"/>
      </w:pPr>
      <w:rPr>
        <w:rFonts w:ascii="Wingdings" w:hAnsi="Wingdings" w:hint="default"/>
      </w:rPr>
    </w:lvl>
  </w:abstractNum>
  <w:num w:numId="1" w16cid:durableId="1890261928">
    <w:abstractNumId w:val="0"/>
  </w:num>
  <w:num w:numId="2" w16cid:durableId="123982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C1EFA"/>
    <w:rsid w:val="00235D04"/>
    <w:rsid w:val="003261C6"/>
    <w:rsid w:val="008A1C28"/>
    <w:rsid w:val="008C0E28"/>
    <w:rsid w:val="0113E9A0"/>
    <w:rsid w:val="03266937"/>
    <w:rsid w:val="03B81C62"/>
    <w:rsid w:val="053C1EFA"/>
    <w:rsid w:val="063FC230"/>
    <w:rsid w:val="06EFBD24"/>
    <w:rsid w:val="07F9DA5A"/>
    <w:rsid w:val="090B7929"/>
    <w:rsid w:val="09366812"/>
    <w:rsid w:val="0AA7498A"/>
    <w:rsid w:val="0B6AC6DA"/>
    <w:rsid w:val="0C4319EB"/>
    <w:rsid w:val="0E691BDE"/>
    <w:rsid w:val="0ECD073E"/>
    <w:rsid w:val="0F256EAB"/>
    <w:rsid w:val="117CE531"/>
    <w:rsid w:val="1550E830"/>
    <w:rsid w:val="1A8E56A1"/>
    <w:rsid w:val="1B181C46"/>
    <w:rsid w:val="1B23C777"/>
    <w:rsid w:val="1DC5F763"/>
    <w:rsid w:val="1E4FBD08"/>
    <w:rsid w:val="207EFB69"/>
    <w:rsid w:val="21A5A593"/>
    <w:rsid w:val="2222B950"/>
    <w:rsid w:val="22996886"/>
    <w:rsid w:val="2891FAD4"/>
    <w:rsid w:val="2908AA0A"/>
    <w:rsid w:val="2A2DCB35"/>
    <w:rsid w:val="2D656BF7"/>
    <w:rsid w:val="2EAEC83D"/>
    <w:rsid w:val="36AF2B10"/>
    <w:rsid w:val="37DEFB4D"/>
    <w:rsid w:val="3821678B"/>
    <w:rsid w:val="383F5040"/>
    <w:rsid w:val="3B8D4B45"/>
    <w:rsid w:val="3BCC3D04"/>
    <w:rsid w:val="4448581E"/>
    <w:rsid w:val="44AC437E"/>
    <w:rsid w:val="44C56BDB"/>
    <w:rsid w:val="465B1FB6"/>
    <w:rsid w:val="4CE51D2E"/>
    <w:rsid w:val="4ED84E45"/>
    <w:rsid w:val="511BD205"/>
    <w:rsid w:val="51A3EEE3"/>
    <w:rsid w:val="52B7A266"/>
    <w:rsid w:val="53ABBF68"/>
    <w:rsid w:val="55478FC9"/>
    <w:rsid w:val="5672D717"/>
    <w:rsid w:val="569F3E1C"/>
    <w:rsid w:val="56D4E6DF"/>
    <w:rsid w:val="577FC267"/>
    <w:rsid w:val="5784E1D3"/>
    <w:rsid w:val="5870B740"/>
    <w:rsid w:val="5878A4C6"/>
    <w:rsid w:val="59647A33"/>
    <w:rsid w:val="5B31A8CC"/>
    <w:rsid w:val="60A19287"/>
    <w:rsid w:val="651FB7A8"/>
    <w:rsid w:val="678317C3"/>
    <w:rsid w:val="69B3E9BB"/>
    <w:rsid w:val="6B0BBF4C"/>
    <w:rsid w:val="6B55601D"/>
    <w:rsid w:val="6B8EF92C"/>
    <w:rsid w:val="6CB23EBF"/>
    <w:rsid w:val="6E3CD449"/>
    <w:rsid w:val="7310456C"/>
    <w:rsid w:val="739A0B11"/>
    <w:rsid w:val="75E442CF"/>
    <w:rsid w:val="7647E62E"/>
    <w:rsid w:val="76D1ABD3"/>
    <w:rsid w:val="774234E6"/>
    <w:rsid w:val="776D0759"/>
    <w:rsid w:val="77E3B68F"/>
    <w:rsid w:val="7908D7BA"/>
    <w:rsid w:val="7A094C95"/>
    <w:rsid w:val="7BAD0A7C"/>
    <w:rsid w:val="7C0A2216"/>
    <w:rsid w:val="7EE4AB3E"/>
    <w:rsid w:val="7FEEC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71B2"/>
  <w15:chartTrackingRefBased/>
  <w15:docId w15:val="{36900D0A-D3FC-42E9-B2D8-FE4C0985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Parker</dc:creator>
  <cp:keywords/>
  <dc:description/>
  <cp:lastModifiedBy>Michelle Lague</cp:lastModifiedBy>
  <cp:revision>3</cp:revision>
  <dcterms:created xsi:type="dcterms:W3CDTF">2022-07-24T13:11:00Z</dcterms:created>
  <dcterms:modified xsi:type="dcterms:W3CDTF">2022-11-15T20:07:00Z</dcterms:modified>
</cp:coreProperties>
</file>