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155"/>
        <w:gridCol w:w="7195"/>
      </w:tblGrid>
      <w:tr w:rsidR="009F71F3" w:rsidRPr="009F71F3" w14:paraId="7C1F214C" w14:textId="77777777" w:rsidTr="009F71F3">
        <w:trPr>
          <w:tblHeader/>
        </w:trPr>
        <w:tc>
          <w:tcPr>
            <w:tcW w:w="2155" w:type="dxa"/>
          </w:tcPr>
          <w:p w14:paraId="34188234" w14:textId="09E52E74" w:rsidR="009F71F3" w:rsidRPr="009F71F3" w:rsidRDefault="009F71F3" w:rsidP="009F71F3">
            <w:pPr>
              <w:jc w:val="center"/>
              <w:rPr>
                <w:rFonts w:ascii="Times New Roman" w:hAnsi="Times New Roman" w:cs="Times New Roman"/>
                <w:b/>
                <w:bCs/>
              </w:rPr>
            </w:pPr>
            <w:r w:rsidRPr="009F71F3">
              <w:rPr>
                <w:rFonts w:ascii="Times New Roman" w:hAnsi="Times New Roman" w:cs="Times New Roman"/>
                <w:b/>
                <w:bCs/>
              </w:rPr>
              <w:t>Term</w:t>
            </w:r>
          </w:p>
        </w:tc>
        <w:tc>
          <w:tcPr>
            <w:tcW w:w="7195" w:type="dxa"/>
          </w:tcPr>
          <w:p w14:paraId="2B47CA0D" w14:textId="31DCAAD5" w:rsidR="009F71F3" w:rsidRPr="009F71F3" w:rsidRDefault="009F71F3" w:rsidP="009F71F3">
            <w:pPr>
              <w:jc w:val="center"/>
              <w:rPr>
                <w:rFonts w:ascii="Times New Roman" w:hAnsi="Times New Roman" w:cs="Times New Roman"/>
                <w:b/>
                <w:bCs/>
              </w:rPr>
            </w:pPr>
            <w:r w:rsidRPr="009F71F3">
              <w:rPr>
                <w:rFonts w:ascii="Times New Roman" w:hAnsi="Times New Roman" w:cs="Times New Roman"/>
                <w:b/>
                <w:bCs/>
              </w:rPr>
              <w:t>Definition</w:t>
            </w:r>
          </w:p>
        </w:tc>
      </w:tr>
      <w:tr w:rsidR="009F71F3" w:rsidRPr="009F71F3" w14:paraId="78191064" w14:textId="77777777" w:rsidTr="009F71F3">
        <w:tc>
          <w:tcPr>
            <w:tcW w:w="2155" w:type="dxa"/>
          </w:tcPr>
          <w:p w14:paraId="514D52E0" w14:textId="679D2EC8" w:rsidR="009F71F3" w:rsidRPr="009F71F3" w:rsidRDefault="009F71F3">
            <w:pPr>
              <w:rPr>
                <w:rFonts w:ascii="Times New Roman" w:hAnsi="Times New Roman" w:cs="Times New Roman"/>
              </w:rPr>
            </w:pPr>
            <w:r w:rsidRPr="009F71F3">
              <w:rPr>
                <w:rFonts w:ascii="Times New Roman" w:hAnsi="Times New Roman" w:cs="Times New Roman"/>
              </w:rPr>
              <w:t>Boundary-spanning teacher educator</w:t>
            </w:r>
          </w:p>
        </w:tc>
        <w:tc>
          <w:tcPr>
            <w:tcW w:w="7195" w:type="dxa"/>
          </w:tcPr>
          <w:p w14:paraId="1E71355E" w14:textId="6EB8934C"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An individual (typically employed by a school district or college/ university) working in a hybrid role across school and university contexts. These individuals serve teacher candidates at any point along a professional continuum and are active participants in teacher preparation.</w:t>
            </w:r>
          </w:p>
        </w:tc>
      </w:tr>
      <w:tr w:rsidR="009F71F3" w:rsidRPr="009F71F3" w14:paraId="7ECE7048" w14:textId="77777777" w:rsidTr="009F71F3">
        <w:tc>
          <w:tcPr>
            <w:tcW w:w="2155" w:type="dxa"/>
          </w:tcPr>
          <w:p w14:paraId="7496C3D6" w14:textId="4064A774" w:rsidR="009F71F3" w:rsidRPr="009F71F3" w:rsidRDefault="009F71F3">
            <w:pPr>
              <w:rPr>
                <w:rFonts w:ascii="Times New Roman" w:hAnsi="Times New Roman" w:cs="Times New Roman"/>
              </w:rPr>
            </w:pPr>
            <w:r w:rsidRPr="009F71F3">
              <w:rPr>
                <w:rFonts w:ascii="Times New Roman" w:hAnsi="Times New Roman" w:cs="Times New Roman"/>
              </w:rPr>
              <w:t>Clinical coaching</w:t>
            </w:r>
          </w:p>
        </w:tc>
        <w:tc>
          <w:tcPr>
            <w:tcW w:w="7195" w:type="dxa"/>
          </w:tcPr>
          <w:p w14:paraId="56E3DE27" w14:textId="46C74191"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 xml:space="preserve">Clinical coaching represents the bridge between the work of university-based and school-based teacher educators engaged in teacher preparation and the practices in which these individuals engage. This term subsumes supervision and mentoring. </w:t>
            </w:r>
          </w:p>
        </w:tc>
      </w:tr>
      <w:tr w:rsidR="009F71F3" w:rsidRPr="009F71F3" w14:paraId="5337C513" w14:textId="77777777" w:rsidTr="009F71F3">
        <w:tc>
          <w:tcPr>
            <w:tcW w:w="2155" w:type="dxa"/>
          </w:tcPr>
          <w:p w14:paraId="50B66C7F" w14:textId="32220D9E" w:rsidR="009F71F3" w:rsidRPr="009F71F3" w:rsidRDefault="009F71F3">
            <w:pPr>
              <w:rPr>
                <w:rFonts w:ascii="Times New Roman" w:hAnsi="Times New Roman" w:cs="Times New Roman"/>
              </w:rPr>
            </w:pPr>
            <w:r w:rsidRPr="009F71F3">
              <w:rPr>
                <w:rFonts w:ascii="Times New Roman" w:hAnsi="Times New Roman" w:cs="Times New Roman"/>
              </w:rPr>
              <w:t>Clinical internship</w:t>
            </w:r>
          </w:p>
        </w:tc>
        <w:tc>
          <w:tcPr>
            <w:tcW w:w="7195" w:type="dxa"/>
          </w:tcPr>
          <w:p w14:paraId="016D252C" w14:textId="040BFA4E"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 xml:space="preserve">The culminating clinical practice experience in some settings; can be of varying duration but no less than one university semester. During the clinical internship teacher candidates assume full responsibility for a pedagogical assignment under the coaching of school- and university-based teacher educators. </w:t>
            </w:r>
          </w:p>
        </w:tc>
      </w:tr>
      <w:tr w:rsidR="009F71F3" w:rsidRPr="009F71F3" w14:paraId="5BC1ED6F" w14:textId="77777777" w:rsidTr="009F71F3">
        <w:tc>
          <w:tcPr>
            <w:tcW w:w="2155" w:type="dxa"/>
          </w:tcPr>
          <w:p w14:paraId="1D905DAC" w14:textId="116A8CEF" w:rsidR="009F71F3" w:rsidRPr="009F71F3" w:rsidRDefault="009F71F3">
            <w:pPr>
              <w:rPr>
                <w:rFonts w:ascii="Times New Roman" w:hAnsi="Times New Roman" w:cs="Times New Roman"/>
              </w:rPr>
            </w:pPr>
            <w:r w:rsidRPr="009F71F3">
              <w:rPr>
                <w:rFonts w:ascii="Times New Roman" w:hAnsi="Times New Roman" w:cs="Times New Roman"/>
              </w:rPr>
              <w:t>Clinical practice</w:t>
            </w:r>
          </w:p>
        </w:tc>
        <w:tc>
          <w:tcPr>
            <w:tcW w:w="7195" w:type="dxa"/>
          </w:tcPr>
          <w:p w14:paraId="4666406A" w14:textId="5DD824F8" w:rsidR="009F71F3" w:rsidRPr="009F71F3" w:rsidRDefault="009F71F3" w:rsidP="009F71F3">
            <w:pPr>
              <w:rPr>
                <w:rFonts w:ascii="Times New Roman" w:hAnsi="Times New Roman" w:cs="Times New Roman"/>
              </w:rPr>
            </w:pPr>
            <w:r w:rsidRPr="009F71F3">
              <w:rPr>
                <w:rStyle w:val="jsgrdq"/>
                <w:rFonts w:ascii="Times New Roman" w:hAnsi="Times New Roman" w:cs="Times New Roman"/>
                <w:color w:val="000000"/>
              </w:rPr>
              <w:t xml:space="preserve">Teacher candidates’ work in authentic educational settings and engagement in the pedagogical work of the profession of teaching, closely integrated with educator preparation course work and supported by a formal school-university partnership. Clinical practice is a specific form of what is traditionally known as field work. </w:t>
            </w:r>
          </w:p>
        </w:tc>
      </w:tr>
      <w:tr w:rsidR="009F71F3" w:rsidRPr="009F71F3" w14:paraId="472558FD" w14:textId="77777777" w:rsidTr="009F71F3">
        <w:tc>
          <w:tcPr>
            <w:tcW w:w="2155" w:type="dxa"/>
          </w:tcPr>
          <w:p w14:paraId="39BEADBE" w14:textId="38A6FC8A" w:rsidR="009F71F3" w:rsidRPr="009F71F3" w:rsidRDefault="009F71F3">
            <w:pPr>
              <w:rPr>
                <w:rFonts w:ascii="Times New Roman" w:hAnsi="Times New Roman" w:cs="Times New Roman"/>
              </w:rPr>
            </w:pPr>
            <w:r w:rsidRPr="009F71F3">
              <w:rPr>
                <w:rFonts w:ascii="Times New Roman" w:hAnsi="Times New Roman" w:cs="Times New Roman"/>
              </w:rPr>
              <w:t>Clinical (practice) setting</w:t>
            </w:r>
          </w:p>
        </w:tc>
        <w:tc>
          <w:tcPr>
            <w:tcW w:w="7195" w:type="dxa"/>
          </w:tcPr>
          <w:p w14:paraId="631C1382" w14:textId="763A0E10" w:rsidR="009F71F3" w:rsidRPr="009F71F3" w:rsidRDefault="009F71F3" w:rsidP="009F71F3">
            <w:pPr>
              <w:rPr>
                <w:rFonts w:ascii="Times New Roman" w:hAnsi="Times New Roman" w:cs="Times New Roman"/>
              </w:rPr>
            </w:pPr>
            <w:r w:rsidRPr="009F71F3">
              <w:rPr>
                <w:rStyle w:val="jsgrdq"/>
                <w:rFonts w:ascii="Times New Roman" w:hAnsi="Times New Roman" w:cs="Times New Roman"/>
                <w:color w:val="000000"/>
              </w:rPr>
              <w:t xml:space="preserve">A school or other authentic educational setting that works in partnership with an educator preparation program to provide clinical practice for teacher candidates. </w:t>
            </w:r>
          </w:p>
        </w:tc>
      </w:tr>
      <w:tr w:rsidR="009F71F3" w:rsidRPr="009F71F3" w14:paraId="17E89E47" w14:textId="77777777" w:rsidTr="009F71F3">
        <w:tc>
          <w:tcPr>
            <w:tcW w:w="2155" w:type="dxa"/>
          </w:tcPr>
          <w:p w14:paraId="7ED3B7ED" w14:textId="4CCD2DE2" w:rsidR="009F71F3" w:rsidRPr="009F71F3" w:rsidRDefault="009F71F3">
            <w:pPr>
              <w:rPr>
                <w:rFonts w:ascii="Times New Roman" w:hAnsi="Times New Roman" w:cs="Times New Roman"/>
              </w:rPr>
            </w:pPr>
            <w:r w:rsidRPr="009F71F3">
              <w:rPr>
                <w:rFonts w:ascii="Times New Roman" w:hAnsi="Times New Roman" w:cs="Times New Roman"/>
              </w:rPr>
              <w:t>Educator</w:t>
            </w:r>
          </w:p>
        </w:tc>
        <w:tc>
          <w:tcPr>
            <w:tcW w:w="7195" w:type="dxa"/>
          </w:tcPr>
          <w:p w14:paraId="1B43ED05" w14:textId="41DAB8D8"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 xml:space="preserve">Any professional worker in a school, university, or other educational context. This inclusive term encompasses teachers, administrators, counselors, professors, clinical coaches, and other roles. </w:t>
            </w:r>
          </w:p>
        </w:tc>
      </w:tr>
      <w:tr w:rsidR="009F71F3" w:rsidRPr="009F71F3" w14:paraId="38AEC1BB" w14:textId="77777777" w:rsidTr="009F71F3">
        <w:tc>
          <w:tcPr>
            <w:tcW w:w="2155" w:type="dxa"/>
          </w:tcPr>
          <w:p w14:paraId="520CCBE1" w14:textId="78401616" w:rsidR="009F71F3" w:rsidRPr="009F71F3" w:rsidRDefault="009F71F3">
            <w:pPr>
              <w:rPr>
                <w:rFonts w:ascii="Times New Roman" w:hAnsi="Times New Roman" w:cs="Times New Roman"/>
              </w:rPr>
            </w:pPr>
            <w:r w:rsidRPr="009F71F3">
              <w:rPr>
                <w:rFonts w:ascii="Times New Roman" w:hAnsi="Times New Roman" w:cs="Times New Roman"/>
              </w:rPr>
              <w:t>Educator preparation</w:t>
            </w:r>
          </w:p>
        </w:tc>
        <w:tc>
          <w:tcPr>
            <w:tcW w:w="7195" w:type="dxa"/>
          </w:tcPr>
          <w:p w14:paraId="4FF65885" w14:textId="67983C7D"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 xml:space="preserve">The broad work of preparing teacher candidates to enter the teaching profession. Institutions of higher education officially house teacher preparation programs, but the program delivery may be carried out in various education contexts. </w:t>
            </w:r>
          </w:p>
        </w:tc>
      </w:tr>
      <w:tr w:rsidR="009F71F3" w:rsidRPr="009F71F3" w14:paraId="631FB3ED" w14:textId="77777777" w:rsidTr="009F71F3">
        <w:tc>
          <w:tcPr>
            <w:tcW w:w="2155" w:type="dxa"/>
          </w:tcPr>
          <w:p w14:paraId="648E8BB8" w14:textId="701B7DFE" w:rsidR="009F71F3" w:rsidRPr="009F71F3" w:rsidRDefault="009F71F3">
            <w:pPr>
              <w:rPr>
                <w:rFonts w:ascii="Times New Roman" w:hAnsi="Times New Roman" w:cs="Times New Roman"/>
              </w:rPr>
            </w:pPr>
            <w:r w:rsidRPr="009F71F3">
              <w:rPr>
                <w:rFonts w:ascii="Times New Roman" w:hAnsi="Times New Roman" w:cs="Times New Roman"/>
              </w:rPr>
              <w:t>Mentor teacher</w:t>
            </w:r>
          </w:p>
        </w:tc>
        <w:tc>
          <w:tcPr>
            <w:tcW w:w="7195" w:type="dxa"/>
          </w:tcPr>
          <w:p w14:paraId="4B930B27" w14:textId="43D5BC63" w:rsidR="009F71F3" w:rsidRPr="009F71F3" w:rsidRDefault="009F71F3" w:rsidP="009F71F3">
            <w:pPr>
              <w:rPr>
                <w:rFonts w:ascii="Times New Roman" w:hAnsi="Times New Roman" w:cs="Times New Roman"/>
              </w:rPr>
            </w:pPr>
            <w:r w:rsidRPr="009F71F3">
              <w:rPr>
                <w:rStyle w:val="jsgrdq"/>
                <w:rFonts w:ascii="Times New Roman" w:hAnsi="Times New Roman" w:cs="Times New Roman"/>
                <w:color w:val="000000"/>
              </w:rPr>
              <w:t xml:space="preserve">A teacher who serves as the primary school-based teacher educator for teacher candidates completing clinical practice or an internship. </w:t>
            </w:r>
          </w:p>
        </w:tc>
      </w:tr>
      <w:tr w:rsidR="009F71F3" w:rsidRPr="009F71F3" w14:paraId="055B788D" w14:textId="77777777" w:rsidTr="009F71F3">
        <w:tc>
          <w:tcPr>
            <w:tcW w:w="2155" w:type="dxa"/>
          </w:tcPr>
          <w:p w14:paraId="5246865B" w14:textId="47299B3F" w:rsidR="009F71F3" w:rsidRPr="009F71F3" w:rsidRDefault="009F71F3">
            <w:pPr>
              <w:rPr>
                <w:rFonts w:ascii="Times New Roman" w:hAnsi="Times New Roman" w:cs="Times New Roman"/>
              </w:rPr>
            </w:pPr>
            <w:r w:rsidRPr="009F71F3">
              <w:rPr>
                <w:rFonts w:ascii="Times New Roman" w:hAnsi="Times New Roman" w:cs="Times New Roman"/>
              </w:rPr>
              <w:t>Teacher</w:t>
            </w:r>
          </w:p>
        </w:tc>
        <w:tc>
          <w:tcPr>
            <w:tcW w:w="7195" w:type="dxa"/>
          </w:tcPr>
          <w:p w14:paraId="769D232D" w14:textId="50B1F603" w:rsidR="009F71F3" w:rsidRPr="009F71F3" w:rsidRDefault="009F71F3" w:rsidP="009F71F3">
            <w:pPr>
              <w:rPr>
                <w:rFonts w:ascii="Times New Roman" w:hAnsi="Times New Roman" w:cs="Times New Roman"/>
              </w:rPr>
            </w:pPr>
            <w:r w:rsidRPr="009F71F3">
              <w:rPr>
                <w:rStyle w:val="jsgrdq"/>
                <w:rFonts w:ascii="Times New Roman" w:hAnsi="Times New Roman" w:cs="Times New Roman"/>
                <w:color w:val="000000"/>
              </w:rPr>
              <w:t xml:space="preserve">Any professionally prepared educator who uses pedagogy to facilitate student learning in a school or other educational context. </w:t>
            </w:r>
          </w:p>
        </w:tc>
      </w:tr>
      <w:tr w:rsidR="009F71F3" w:rsidRPr="009F71F3" w14:paraId="5636A15B" w14:textId="77777777" w:rsidTr="009F71F3">
        <w:tc>
          <w:tcPr>
            <w:tcW w:w="2155" w:type="dxa"/>
          </w:tcPr>
          <w:p w14:paraId="212C6ECC" w14:textId="7E41B1C7" w:rsidR="009F71F3" w:rsidRPr="009F71F3" w:rsidRDefault="009F71F3">
            <w:pPr>
              <w:rPr>
                <w:rFonts w:ascii="Times New Roman" w:hAnsi="Times New Roman" w:cs="Times New Roman"/>
              </w:rPr>
            </w:pPr>
            <w:r w:rsidRPr="009F71F3">
              <w:rPr>
                <w:rFonts w:ascii="Times New Roman" w:hAnsi="Times New Roman" w:cs="Times New Roman"/>
              </w:rPr>
              <w:t>Teacher candidate</w:t>
            </w:r>
          </w:p>
        </w:tc>
        <w:tc>
          <w:tcPr>
            <w:tcW w:w="7195" w:type="dxa"/>
          </w:tcPr>
          <w:p w14:paraId="40A35D14" w14:textId="2D05CBB2" w:rsidR="009F71F3" w:rsidRPr="009F71F3" w:rsidRDefault="009F71F3" w:rsidP="009F71F3">
            <w:pPr>
              <w:rPr>
                <w:rFonts w:ascii="Times New Roman" w:hAnsi="Times New Roman" w:cs="Times New Roman"/>
              </w:rPr>
            </w:pPr>
            <w:r w:rsidRPr="009F71F3">
              <w:rPr>
                <w:rStyle w:val="jsgrdq"/>
                <w:rFonts w:ascii="Times New Roman" w:hAnsi="Times New Roman" w:cs="Times New Roman"/>
                <w:color w:val="000000"/>
              </w:rPr>
              <w:t>An individual enrolled in a teacher preparation program that leads to a recommendation for initial-level state licensure.</w:t>
            </w:r>
          </w:p>
        </w:tc>
      </w:tr>
      <w:tr w:rsidR="009F71F3" w:rsidRPr="009F71F3" w14:paraId="73295C19" w14:textId="77777777" w:rsidTr="009F71F3">
        <w:tc>
          <w:tcPr>
            <w:tcW w:w="2155" w:type="dxa"/>
          </w:tcPr>
          <w:p w14:paraId="08D8F8C7" w14:textId="70A6BD6B" w:rsidR="009F71F3" w:rsidRPr="009F71F3" w:rsidRDefault="009F71F3">
            <w:pPr>
              <w:rPr>
                <w:rFonts w:ascii="Times New Roman" w:hAnsi="Times New Roman" w:cs="Times New Roman"/>
              </w:rPr>
            </w:pPr>
            <w:r w:rsidRPr="009F71F3">
              <w:rPr>
                <w:rFonts w:ascii="Times New Roman" w:hAnsi="Times New Roman" w:cs="Times New Roman"/>
              </w:rPr>
              <w:t>Teacher preparation</w:t>
            </w:r>
          </w:p>
        </w:tc>
        <w:tc>
          <w:tcPr>
            <w:tcW w:w="7195" w:type="dxa"/>
          </w:tcPr>
          <w:p w14:paraId="06CCA02C" w14:textId="22D3EA8F"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 xml:space="preserve">The broad work of preparing teacher candidates to enter the teaching profession. Institutions of higher education officially house teacher preparation programs, but the program delivery may be carried out in various education contexts. </w:t>
            </w:r>
          </w:p>
        </w:tc>
      </w:tr>
      <w:tr w:rsidR="009F71F3" w:rsidRPr="009F71F3" w14:paraId="68192B35" w14:textId="77777777" w:rsidTr="009F71F3">
        <w:tc>
          <w:tcPr>
            <w:tcW w:w="2155" w:type="dxa"/>
          </w:tcPr>
          <w:p w14:paraId="14BF1A0E" w14:textId="1869AE65" w:rsidR="009F71F3" w:rsidRPr="009F71F3" w:rsidRDefault="009F71F3">
            <w:pPr>
              <w:rPr>
                <w:rFonts w:ascii="Times New Roman" w:hAnsi="Times New Roman" w:cs="Times New Roman"/>
              </w:rPr>
            </w:pPr>
            <w:r w:rsidRPr="009F71F3">
              <w:rPr>
                <w:rFonts w:ascii="Times New Roman" w:hAnsi="Times New Roman" w:cs="Times New Roman"/>
              </w:rPr>
              <w:t>School-based teacher educator</w:t>
            </w:r>
          </w:p>
        </w:tc>
        <w:tc>
          <w:tcPr>
            <w:tcW w:w="7195" w:type="dxa"/>
          </w:tcPr>
          <w:p w14:paraId="02573F04" w14:textId="6179C451"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 xml:space="preserve">An individual involved in teacher preparation whose primary institutional home is a school. School-based teacher educators are a specific type of boundary-spanning teacher educators who assume mentoring and partnership responsibilities in addition to their school responsibilities. A school-based teacher educator may be otherwise </w:t>
            </w:r>
            <w:r w:rsidRPr="009F71F3">
              <w:rPr>
                <w:rStyle w:val="jsgrdq"/>
                <w:rFonts w:ascii="Times New Roman" w:hAnsi="Times New Roman" w:cs="Times New Roman"/>
                <w:color w:val="000000"/>
              </w:rPr>
              <w:lastRenderedPageBreak/>
              <w:t xml:space="preserve">known as a university liaison, site facilitator, cooperating teacher, mentor teacher, collaborating teacher, or school liaison. </w:t>
            </w:r>
          </w:p>
        </w:tc>
      </w:tr>
      <w:tr w:rsidR="009F71F3" w:rsidRPr="009F71F3" w14:paraId="68F1D6C5" w14:textId="77777777" w:rsidTr="009F71F3">
        <w:tc>
          <w:tcPr>
            <w:tcW w:w="2155" w:type="dxa"/>
          </w:tcPr>
          <w:p w14:paraId="289B7749" w14:textId="4128B18B" w:rsidR="009F71F3" w:rsidRPr="009F71F3" w:rsidRDefault="009F71F3">
            <w:pPr>
              <w:rPr>
                <w:rFonts w:ascii="Times New Roman" w:hAnsi="Times New Roman" w:cs="Times New Roman"/>
              </w:rPr>
            </w:pPr>
            <w:r w:rsidRPr="009F71F3">
              <w:rPr>
                <w:rFonts w:ascii="Times New Roman" w:hAnsi="Times New Roman" w:cs="Times New Roman"/>
              </w:rPr>
              <w:lastRenderedPageBreak/>
              <w:t>University-based teacher educator</w:t>
            </w:r>
          </w:p>
        </w:tc>
        <w:tc>
          <w:tcPr>
            <w:tcW w:w="7195" w:type="dxa"/>
          </w:tcPr>
          <w:p w14:paraId="6F3BECA1" w14:textId="53D76908" w:rsidR="009F71F3" w:rsidRPr="009F71F3" w:rsidRDefault="009F71F3">
            <w:pPr>
              <w:rPr>
                <w:rFonts w:ascii="Times New Roman" w:hAnsi="Times New Roman" w:cs="Times New Roman"/>
              </w:rPr>
            </w:pPr>
            <w:r w:rsidRPr="009F71F3">
              <w:rPr>
                <w:rStyle w:val="jsgrdq"/>
                <w:rFonts w:ascii="Times New Roman" w:hAnsi="Times New Roman" w:cs="Times New Roman"/>
                <w:color w:val="000000"/>
              </w:rPr>
              <w:t>An individual involved in teacher preparation whose primary institutional home is a college or university. University-based teacher educators are a specific type of boundary-spanning teacher educators who engage in evaluation, coaching, instruction, and partnership and assume expanded and multiple responsibilities within, and often across, each of these four domains. A university- based teacher educator may be otherwise known as a university supervisor, university liaison, clinical supervisor, or clinical faculty.</w:t>
            </w:r>
          </w:p>
        </w:tc>
      </w:tr>
    </w:tbl>
    <w:p w14:paraId="4BBD5D8B" w14:textId="56D7E1B9" w:rsidR="00EB7CCC" w:rsidRPr="009F71F3" w:rsidRDefault="00EB7CCC">
      <w:pPr>
        <w:rPr>
          <w:rFonts w:ascii="Times New Roman" w:hAnsi="Times New Roman" w:cs="Times New Roman"/>
        </w:rPr>
      </w:pPr>
    </w:p>
    <w:sectPr w:rsidR="00EB7CCC" w:rsidRPr="009F71F3" w:rsidSect="00DE33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E503" w14:textId="77777777" w:rsidR="00CD5BB4" w:rsidRDefault="00CD5BB4" w:rsidP="009F71F3">
      <w:r>
        <w:separator/>
      </w:r>
    </w:p>
  </w:endnote>
  <w:endnote w:type="continuationSeparator" w:id="0">
    <w:p w14:paraId="76BFB982" w14:textId="77777777" w:rsidR="00CD5BB4" w:rsidRDefault="00CD5BB4" w:rsidP="009F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666A8" w14:textId="77777777" w:rsidR="00CD5BB4" w:rsidRDefault="00CD5BB4" w:rsidP="009F71F3">
      <w:r>
        <w:separator/>
      </w:r>
    </w:p>
  </w:footnote>
  <w:footnote w:type="continuationSeparator" w:id="0">
    <w:p w14:paraId="7451E535" w14:textId="77777777" w:rsidR="00CD5BB4" w:rsidRDefault="00CD5BB4" w:rsidP="009F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4995" w14:textId="26FFDED7" w:rsidR="009F71F3" w:rsidRPr="009F71F3" w:rsidRDefault="009F71F3">
    <w:pPr>
      <w:pStyle w:val="Header"/>
      <w:rPr>
        <w:rFonts w:ascii="Times New Roman" w:hAnsi="Times New Roman" w:cs="Times New Roman"/>
      </w:rPr>
    </w:pPr>
    <w:r w:rsidRPr="009F71F3">
      <w:rPr>
        <w:rFonts w:ascii="Times New Roman" w:hAnsi="Times New Roman" w:cs="Times New Roman"/>
      </w:rPr>
      <w:t>AACTE Lexicon of Practice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F3"/>
    <w:rsid w:val="00001877"/>
    <w:rsid w:val="000F7230"/>
    <w:rsid w:val="00126AD4"/>
    <w:rsid w:val="00136098"/>
    <w:rsid w:val="00153A46"/>
    <w:rsid w:val="001C06EA"/>
    <w:rsid w:val="00241FFC"/>
    <w:rsid w:val="002547DC"/>
    <w:rsid w:val="002B6F2C"/>
    <w:rsid w:val="00317B60"/>
    <w:rsid w:val="0037232C"/>
    <w:rsid w:val="00395343"/>
    <w:rsid w:val="003B431F"/>
    <w:rsid w:val="003C3E0A"/>
    <w:rsid w:val="003E02CA"/>
    <w:rsid w:val="004914EB"/>
    <w:rsid w:val="005125E7"/>
    <w:rsid w:val="005A5449"/>
    <w:rsid w:val="005B4C10"/>
    <w:rsid w:val="005D308F"/>
    <w:rsid w:val="00615018"/>
    <w:rsid w:val="006901F6"/>
    <w:rsid w:val="00771A6E"/>
    <w:rsid w:val="007931DA"/>
    <w:rsid w:val="007C0D88"/>
    <w:rsid w:val="00814F13"/>
    <w:rsid w:val="0082596C"/>
    <w:rsid w:val="008377E7"/>
    <w:rsid w:val="0088524A"/>
    <w:rsid w:val="0089130B"/>
    <w:rsid w:val="009234C8"/>
    <w:rsid w:val="009612E6"/>
    <w:rsid w:val="00962E04"/>
    <w:rsid w:val="009910D9"/>
    <w:rsid w:val="009F71F3"/>
    <w:rsid w:val="00A00714"/>
    <w:rsid w:val="00A400BD"/>
    <w:rsid w:val="00A62192"/>
    <w:rsid w:val="00AE694A"/>
    <w:rsid w:val="00B21269"/>
    <w:rsid w:val="00B5792F"/>
    <w:rsid w:val="00B95863"/>
    <w:rsid w:val="00BB29BC"/>
    <w:rsid w:val="00BE71EF"/>
    <w:rsid w:val="00C94E33"/>
    <w:rsid w:val="00CD5BB4"/>
    <w:rsid w:val="00D13767"/>
    <w:rsid w:val="00D30A9C"/>
    <w:rsid w:val="00D46255"/>
    <w:rsid w:val="00D51F87"/>
    <w:rsid w:val="00DE0E5B"/>
    <w:rsid w:val="00DE33AC"/>
    <w:rsid w:val="00E56452"/>
    <w:rsid w:val="00EA0A4C"/>
    <w:rsid w:val="00EB7CCC"/>
    <w:rsid w:val="00ED5383"/>
    <w:rsid w:val="00EF4B3C"/>
    <w:rsid w:val="00F1692B"/>
    <w:rsid w:val="00F5559C"/>
    <w:rsid w:val="00FF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1EE24"/>
  <w15:chartTrackingRefBased/>
  <w15:docId w15:val="{120653EE-03B0-754B-899B-DD6773A2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9F71F3"/>
  </w:style>
  <w:style w:type="paragraph" w:styleId="Header">
    <w:name w:val="header"/>
    <w:basedOn w:val="Normal"/>
    <w:link w:val="HeaderChar"/>
    <w:uiPriority w:val="99"/>
    <w:unhideWhenUsed/>
    <w:rsid w:val="009F71F3"/>
    <w:pPr>
      <w:tabs>
        <w:tab w:val="center" w:pos="4680"/>
        <w:tab w:val="right" w:pos="9360"/>
      </w:tabs>
    </w:pPr>
  </w:style>
  <w:style w:type="character" w:customStyle="1" w:styleId="HeaderChar">
    <w:name w:val="Header Char"/>
    <w:basedOn w:val="DefaultParagraphFont"/>
    <w:link w:val="Header"/>
    <w:uiPriority w:val="99"/>
    <w:rsid w:val="009F71F3"/>
  </w:style>
  <w:style w:type="paragraph" w:styleId="Footer">
    <w:name w:val="footer"/>
    <w:basedOn w:val="Normal"/>
    <w:link w:val="FooterChar"/>
    <w:uiPriority w:val="99"/>
    <w:unhideWhenUsed/>
    <w:rsid w:val="009F71F3"/>
    <w:pPr>
      <w:tabs>
        <w:tab w:val="center" w:pos="4680"/>
        <w:tab w:val="right" w:pos="9360"/>
      </w:tabs>
    </w:pPr>
  </w:style>
  <w:style w:type="character" w:customStyle="1" w:styleId="FooterChar">
    <w:name w:val="Footer Char"/>
    <w:basedOn w:val="DefaultParagraphFont"/>
    <w:link w:val="Footer"/>
    <w:uiPriority w:val="99"/>
    <w:rsid w:val="009F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7953">
      <w:bodyDiv w:val="1"/>
      <w:marLeft w:val="0"/>
      <w:marRight w:val="0"/>
      <w:marTop w:val="0"/>
      <w:marBottom w:val="0"/>
      <w:divBdr>
        <w:top w:val="none" w:sz="0" w:space="0" w:color="auto"/>
        <w:left w:val="none" w:sz="0" w:space="0" w:color="auto"/>
        <w:bottom w:val="none" w:sz="0" w:space="0" w:color="auto"/>
        <w:right w:val="none" w:sz="0" w:space="0" w:color="auto"/>
      </w:divBdr>
    </w:div>
    <w:div w:id="387656490">
      <w:bodyDiv w:val="1"/>
      <w:marLeft w:val="0"/>
      <w:marRight w:val="0"/>
      <w:marTop w:val="0"/>
      <w:marBottom w:val="0"/>
      <w:divBdr>
        <w:top w:val="none" w:sz="0" w:space="0" w:color="auto"/>
        <w:left w:val="none" w:sz="0" w:space="0" w:color="auto"/>
        <w:bottom w:val="none" w:sz="0" w:space="0" w:color="auto"/>
        <w:right w:val="none" w:sz="0" w:space="0" w:color="auto"/>
      </w:divBdr>
    </w:div>
    <w:div w:id="532038317">
      <w:bodyDiv w:val="1"/>
      <w:marLeft w:val="0"/>
      <w:marRight w:val="0"/>
      <w:marTop w:val="0"/>
      <w:marBottom w:val="0"/>
      <w:divBdr>
        <w:top w:val="none" w:sz="0" w:space="0" w:color="auto"/>
        <w:left w:val="none" w:sz="0" w:space="0" w:color="auto"/>
        <w:bottom w:val="none" w:sz="0" w:space="0" w:color="auto"/>
        <w:right w:val="none" w:sz="0" w:space="0" w:color="auto"/>
      </w:divBdr>
    </w:div>
    <w:div w:id="692925127">
      <w:bodyDiv w:val="1"/>
      <w:marLeft w:val="0"/>
      <w:marRight w:val="0"/>
      <w:marTop w:val="0"/>
      <w:marBottom w:val="0"/>
      <w:divBdr>
        <w:top w:val="none" w:sz="0" w:space="0" w:color="auto"/>
        <w:left w:val="none" w:sz="0" w:space="0" w:color="auto"/>
        <w:bottom w:val="none" w:sz="0" w:space="0" w:color="auto"/>
        <w:right w:val="none" w:sz="0" w:space="0" w:color="auto"/>
      </w:divBdr>
      <w:divsChild>
        <w:div w:id="509833542">
          <w:marLeft w:val="0"/>
          <w:marRight w:val="0"/>
          <w:marTop w:val="0"/>
          <w:marBottom w:val="0"/>
          <w:divBdr>
            <w:top w:val="none" w:sz="0" w:space="0" w:color="auto"/>
            <w:left w:val="none" w:sz="0" w:space="0" w:color="auto"/>
            <w:bottom w:val="none" w:sz="0" w:space="0" w:color="auto"/>
            <w:right w:val="none" w:sz="0" w:space="0" w:color="auto"/>
          </w:divBdr>
          <w:divsChild>
            <w:div w:id="1233931336">
              <w:marLeft w:val="0"/>
              <w:marRight w:val="0"/>
              <w:marTop w:val="0"/>
              <w:marBottom w:val="0"/>
              <w:divBdr>
                <w:top w:val="none" w:sz="0" w:space="0" w:color="auto"/>
                <w:left w:val="none" w:sz="0" w:space="0" w:color="auto"/>
                <w:bottom w:val="none" w:sz="0" w:space="0" w:color="auto"/>
                <w:right w:val="none" w:sz="0" w:space="0" w:color="auto"/>
              </w:divBdr>
              <w:divsChild>
                <w:div w:id="602226304">
                  <w:marLeft w:val="0"/>
                  <w:marRight w:val="0"/>
                  <w:marTop w:val="0"/>
                  <w:marBottom w:val="0"/>
                  <w:divBdr>
                    <w:top w:val="none" w:sz="0" w:space="0" w:color="auto"/>
                    <w:left w:val="none" w:sz="0" w:space="0" w:color="auto"/>
                    <w:bottom w:val="none" w:sz="0" w:space="0" w:color="auto"/>
                    <w:right w:val="none" w:sz="0" w:space="0" w:color="auto"/>
                  </w:divBdr>
                </w:div>
                <w:div w:id="1523784471">
                  <w:marLeft w:val="0"/>
                  <w:marRight w:val="0"/>
                  <w:marTop w:val="0"/>
                  <w:marBottom w:val="0"/>
                  <w:divBdr>
                    <w:top w:val="none" w:sz="0" w:space="0" w:color="auto"/>
                    <w:left w:val="none" w:sz="0" w:space="0" w:color="auto"/>
                    <w:bottom w:val="none" w:sz="0" w:space="0" w:color="auto"/>
                    <w:right w:val="none" w:sz="0" w:space="0" w:color="auto"/>
                  </w:divBdr>
                </w:div>
              </w:divsChild>
            </w:div>
            <w:div w:id="1291133060">
              <w:marLeft w:val="0"/>
              <w:marRight w:val="0"/>
              <w:marTop w:val="0"/>
              <w:marBottom w:val="0"/>
              <w:divBdr>
                <w:top w:val="none" w:sz="0" w:space="0" w:color="auto"/>
                <w:left w:val="none" w:sz="0" w:space="0" w:color="auto"/>
                <w:bottom w:val="none" w:sz="0" w:space="0" w:color="auto"/>
                <w:right w:val="none" w:sz="0" w:space="0" w:color="auto"/>
              </w:divBdr>
              <w:divsChild>
                <w:div w:id="559245531">
                  <w:marLeft w:val="0"/>
                  <w:marRight w:val="0"/>
                  <w:marTop w:val="0"/>
                  <w:marBottom w:val="0"/>
                  <w:divBdr>
                    <w:top w:val="none" w:sz="0" w:space="0" w:color="auto"/>
                    <w:left w:val="none" w:sz="0" w:space="0" w:color="auto"/>
                    <w:bottom w:val="none" w:sz="0" w:space="0" w:color="auto"/>
                    <w:right w:val="none" w:sz="0" w:space="0" w:color="auto"/>
                  </w:divBdr>
                  <w:divsChild>
                    <w:div w:id="1796679590">
                      <w:marLeft w:val="0"/>
                      <w:marRight w:val="0"/>
                      <w:marTop w:val="0"/>
                      <w:marBottom w:val="0"/>
                      <w:divBdr>
                        <w:top w:val="none" w:sz="0" w:space="0" w:color="auto"/>
                        <w:left w:val="none" w:sz="0" w:space="0" w:color="auto"/>
                        <w:bottom w:val="none" w:sz="0" w:space="0" w:color="auto"/>
                        <w:right w:val="none" w:sz="0" w:space="0" w:color="auto"/>
                      </w:divBdr>
                      <w:divsChild>
                        <w:div w:id="3400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2839">
                  <w:marLeft w:val="0"/>
                  <w:marRight w:val="0"/>
                  <w:marTop w:val="0"/>
                  <w:marBottom w:val="0"/>
                  <w:divBdr>
                    <w:top w:val="none" w:sz="0" w:space="0" w:color="auto"/>
                    <w:left w:val="none" w:sz="0" w:space="0" w:color="auto"/>
                    <w:bottom w:val="none" w:sz="0" w:space="0" w:color="auto"/>
                    <w:right w:val="none" w:sz="0" w:space="0" w:color="auto"/>
                  </w:divBdr>
                  <w:divsChild>
                    <w:div w:id="603660120">
                      <w:marLeft w:val="0"/>
                      <w:marRight w:val="0"/>
                      <w:marTop w:val="0"/>
                      <w:marBottom w:val="0"/>
                      <w:divBdr>
                        <w:top w:val="none" w:sz="0" w:space="0" w:color="auto"/>
                        <w:left w:val="none" w:sz="0" w:space="0" w:color="auto"/>
                        <w:bottom w:val="none" w:sz="0" w:space="0" w:color="auto"/>
                        <w:right w:val="none" w:sz="0" w:space="0" w:color="auto"/>
                      </w:divBdr>
                      <w:divsChild>
                        <w:div w:id="1105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5598">
              <w:marLeft w:val="0"/>
              <w:marRight w:val="0"/>
              <w:marTop w:val="0"/>
              <w:marBottom w:val="0"/>
              <w:divBdr>
                <w:top w:val="none" w:sz="0" w:space="0" w:color="auto"/>
                <w:left w:val="none" w:sz="0" w:space="0" w:color="auto"/>
                <w:bottom w:val="none" w:sz="0" w:space="0" w:color="auto"/>
                <w:right w:val="none" w:sz="0" w:space="0" w:color="auto"/>
              </w:divBdr>
              <w:divsChild>
                <w:div w:id="663827009">
                  <w:marLeft w:val="0"/>
                  <w:marRight w:val="0"/>
                  <w:marTop w:val="0"/>
                  <w:marBottom w:val="0"/>
                  <w:divBdr>
                    <w:top w:val="none" w:sz="0" w:space="0" w:color="auto"/>
                    <w:left w:val="none" w:sz="0" w:space="0" w:color="auto"/>
                    <w:bottom w:val="none" w:sz="0" w:space="0" w:color="auto"/>
                    <w:right w:val="none" w:sz="0" w:space="0" w:color="auto"/>
                  </w:divBdr>
                  <w:divsChild>
                    <w:div w:id="1879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20774">
              <w:marLeft w:val="0"/>
              <w:marRight w:val="0"/>
              <w:marTop w:val="0"/>
              <w:marBottom w:val="0"/>
              <w:divBdr>
                <w:top w:val="none" w:sz="0" w:space="0" w:color="auto"/>
                <w:left w:val="none" w:sz="0" w:space="0" w:color="auto"/>
                <w:bottom w:val="none" w:sz="0" w:space="0" w:color="auto"/>
                <w:right w:val="none" w:sz="0" w:space="0" w:color="auto"/>
              </w:divBdr>
              <w:divsChild>
                <w:div w:id="2041272381">
                  <w:marLeft w:val="0"/>
                  <w:marRight w:val="0"/>
                  <w:marTop w:val="0"/>
                  <w:marBottom w:val="0"/>
                  <w:divBdr>
                    <w:top w:val="none" w:sz="0" w:space="0" w:color="auto"/>
                    <w:left w:val="none" w:sz="0" w:space="0" w:color="auto"/>
                    <w:bottom w:val="none" w:sz="0" w:space="0" w:color="auto"/>
                    <w:right w:val="none" w:sz="0" w:space="0" w:color="auto"/>
                  </w:divBdr>
                  <w:divsChild>
                    <w:div w:id="50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5586">
              <w:marLeft w:val="0"/>
              <w:marRight w:val="0"/>
              <w:marTop w:val="0"/>
              <w:marBottom w:val="0"/>
              <w:divBdr>
                <w:top w:val="none" w:sz="0" w:space="0" w:color="auto"/>
                <w:left w:val="none" w:sz="0" w:space="0" w:color="auto"/>
                <w:bottom w:val="none" w:sz="0" w:space="0" w:color="auto"/>
                <w:right w:val="none" w:sz="0" w:space="0" w:color="auto"/>
              </w:divBdr>
              <w:divsChild>
                <w:div w:id="1635988231">
                  <w:marLeft w:val="0"/>
                  <w:marRight w:val="0"/>
                  <w:marTop w:val="0"/>
                  <w:marBottom w:val="0"/>
                  <w:divBdr>
                    <w:top w:val="none" w:sz="0" w:space="0" w:color="auto"/>
                    <w:left w:val="none" w:sz="0" w:space="0" w:color="auto"/>
                    <w:bottom w:val="none" w:sz="0" w:space="0" w:color="auto"/>
                    <w:right w:val="none" w:sz="0" w:space="0" w:color="auto"/>
                  </w:divBdr>
                </w:div>
              </w:divsChild>
            </w:div>
            <w:div w:id="78138288">
              <w:marLeft w:val="0"/>
              <w:marRight w:val="0"/>
              <w:marTop w:val="0"/>
              <w:marBottom w:val="0"/>
              <w:divBdr>
                <w:top w:val="none" w:sz="0" w:space="0" w:color="auto"/>
                <w:left w:val="none" w:sz="0" w:space="0" w:color="auto"/>
                <w:bottom w:val="none" w:sz="0" w:space="0" w:color="auto"/>
                <w:right w:val="none" w:sz="0" w:space="0" w:color="auto"/>
              </w:divBdr>
              <w:divsChild>
                <w:div w:id="2128699819">
                  <w:marLeft w:val="0"/>
                  <w:marRight w:val="0"/>
                  <w:marTop w:val="0"/>
                  <w:marBottom w:val="0"/>
                  <w:divBdr>
                    <w:top w:val="none" w:sz="0" w:space="0" w:color="auto"/>
                    <w:left w:val="none" w:sz="0" w:space="0" w:color="auto"/>
                    <w:bottom w:val="none" w:sz="0" w:space="0" w:color="auto"/>
                    <w:right w:val="none" w:sz="0" w:space="0" w:color="auto"/>
                  </w:divBdr>
                  <w:divsChild>
                    <w:div w:id="4177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774">
              <w:marLeft w:val="0"/>
              <w:marRight w:val="0"/>
              <w:marTop w:val="0"/>
              <w:marBottom w:val="0"/>
              <w:divBdr>
                <w:top w:val="none" w:sz="0" w:space="0" w:color="auto"/>
                <w:left w:val="none" w:sz="0" w:space="0" w:color="auto"/>
                <w:bottom w:val="none" w:sz="0" w:space="0" w:color="auto"/>
                <w:right w:val="none" w:sz="0" w:space="0" w:color="auto"/>
              </w:divBdr>
              <w:divsChild>
                <w:div w:id="334187464">
                  <w:marLeft w:val="0"/>
                  <w:marRight w:val="0"/>
                  <w:marTop w:val="0"/>
                  <w:marBottom w:val="0"/>
                  <w:divBdr>
                    <w:top w:val="none" w:sz="0" w:space="0" w:color="auto"/>
                    <w:left w:val="none" w:sz="0" w:space="0" w:color="auto"/>
                    <w:bottom w:val="none" w:sz="0" w:space="0" w:color="auto"/>
                    <w:right w:val="none" w:sz="0" w:space="0" w:color="auto"/>
                  </w:divBdr>
                  <w:divsChild>
                    <w:div w:id="12172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0513">
              <w:marLeft w:val="0"/>
              <w:marRight w:val="0"/>
              <w:marTop w:val="0"/>
              <w:marBottom w:val="0"/>
              <w:divBdr>
                <w:top w:val="none" w:sz="0" w:space="0" w:color="auto"/>
                <w:left w:val="none" w:sz="0" w:space="0" w:color="auto"/>
                <w:bottom w:val="none" w:sz="0" w:space="0" w:color="auto"/>
                <w:right w:val="none" w:sz="0" w:space="0" w:color="auto"/>
              </w:divBdr>
              <w:divsChild>
                <w:div w:id="1254823822">
                  <w:marLeft w:val="0"/>
                  <w:marRight w:val="0"/>
                  <w:marTop w:val="0"/>
                  <w:marBottom w:val="0"/>
                  <w:divBdr>
                    <w:top w:val="none" w:sz="0" w:space="0" w:color="auto"/>
                    <w:left w:val="none" w:sz="0" w:space="0" w:color="auto"/>
                    <w:bottom w:val="none" w:sz="0" w:space="0" w:color="auto"/>
                    <w:right w:val="none" w:sz="0" w:space="0" w:color="auto"/>
                  </w:divBdr>
                </w:div>
              </w:divsChild>
            </w:div>
            <w:div w:id="509954506">
              <w:marLeft w:val="0"/>
              <w:marRight w:val="0"/>
              <w:marTop w:val="0"/>
              <w:marBottom w:val="0"/>
              <w:divBdr>
                <w:top w:val="none" w:sz="0" w:space="0" w:color="auto"/>
                <w:left w:val="none" w:sz="0" w:space="0" w:color="auto"/>
                <w:bottom w:val="none" w:sz="0" w:space="0" w:color="auto"/>
                <w:right w:val="none" w:sz="0" w:space="0" w:color="auto"/>
              </w:divBdr>
              <w:divsChild>
                <w:div w:id="273904108">
                  <w:marLeft w:val="0"/>
                  <w:marRight w:val="0"/>
                  <w:marTop w:val="0"/>
                  <w:marBottom w:val="0"/>
                  <w:divBdr>
                    <w:top w:val="none" w:sz="0" w:space="0" w:color="auto"/>
                    <w:left w:val="none" w:sz="0" w:space="0" w:color="auto"/>
                    <w:bottom w:val="none" w:sz="0" w:space="0" w:color="auto"/>
                    <w:right w:val="none" w:sz="0" w:space="0" w:color="auto"/>
                  </w:divBdr>
                </w:div>
              </w:divsChild>
            </w:div>
            <w:div w:id="1527061110">
              <w:marLeft w:val="0"/>
              <w:marRight w:val="0"/>
              <w:marTop w:val="0"/>
              <w:marBottom w:val="0"/>
              <w:divBdr>
                <w:top w:val="none" w:sz="0" w:space="0" w:color="auto"/>
                <w:left w:val="none" w:sz="0" w:space="0" w:color="auto"/>
                <w:bottom w:val="none" w:sz="0" w:space="0" w:color="auto"/>
                <w:right w:val="none" w:sz="0" w:space="0" w:color="auto"/>
              </w:divBdr>
              <w:divsChild>
                <w:div w:id="1785928131">
                  <w:marLeft w:val="0"/>
                  <w:marRight w:val="0"/>
                  <w:marTop w:val="0"/>
                  <w:marBottom w:val="0"/>
                  <w:divBdr>
                    <w:top w:val="none" w:sz="0" w:space="0" w:color="auto"/>
                    <w:left w:val="none" w:sz="0" w:space="0" w:color="auto"/>
                    <w:bottom w:val="none" w:sz="0" w:space="0" w:color="auto"/>
                    <w:right w:val="none" w:sz="0" w:space="0" w:color="auto"/>
                  </w:divBdr>
                </w:div>
              </w:divsChild>
            </w:div>
            <w:div w:id="1730155155">
              <w:marLeft w:val="0"/>
              <w:marRight w:val="0"/>
              <w:marTop w:val="0"/>
              <w:marBottom w:val="0"/>
              <w:divBdr>
                <w:top w:val="none" w:sz="0" w:space="0" w:color="auto"/>
                <w:left w:val="none" w:sz="0" w:space="0" w:color="auto"/>
                <w:bottom w:val="none" w:sz="0" w:space="0" w:color="auto"/>
                <w:right w:val="none" w:sz="0" w:space="0" w:color="auto"/>
              </w:divBdr>
              <w:divsChild>
                <w:div w:id="16706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7832">
          <w:marLeft w:val="0"/>
          <w:marRight w:val="0"/>
          <w:marTop w:val="0"/>
          <w:marBottom w:val="0"/>
          <w:divBdr>
            <w:top w:val="none" w:sz="0" w:space="0" w:color="auto"/>
            <w:left w:val="none" w:sz="0" w:space="0" w:color="auto"/>
            <w:bottom w:val="none" w:sz="0" w:space="0" w:color="auto"/>
            <w:right w:val="none" w:sz="0" w:space="0" w:color="auto"/>
          </w:divBdr>
          <w:divsChild>
            <w:div w:id="143090032">
              <w:marLeft w:val="0"/>
              <w:marRight w:val="0"/>
              <w:marTop w:val="0"/>
              <w:marBottom w:val="0"/>
              <w:divBdr>
                <w:top w:val="none" w:sz="0" w:space="0" w:color="auto"/>
                <w:left w:val="none" w:sz="0" w:space="0" w:color="auto"/>
                <w:bottom w:val="none" w:sz="0" w:space="0" w:color="auto"/>
                <w:right w:val="none" w:sz="0" w:space="0" w:color="auto"/>
              </w:divBdr>
              <w:divsChild>
                <w:div w:id="1501241272">
                  <w:marLeft w:val="0"/>
                  <w:marRight w:val="0"/>
                  <w:marTop w:val="0"/>
                  <w:marBottom w:val="0"/>
                  <w:divBdr>
                    <w:top w:val="none" w:sz="0" w:space="0" w:color="auto"/>
                    <w:left w:val="none" w:sz="0" w:space="0" w:color="auto"/>
                    <w:bottom w:val="none" w:sz="0" w:space="0" w:color="auto"/>
                    <w:right w:val="none" w:sz="0" w:space="0" w:color="auto"/>
                  </w:divBdr>
                  <w:divsChild>
                    <w:div w:id="622804802">
                      <w:marLeft w:val="0"/>
                      <w:marRight w:val="0"/>
                      <w:marTop w:val="0"/>
                      <w:marBottom w:val="0"/>
                      <w:divBdr>
                        <w:top w:val="none" w:sz="0" w:space="0" w:color="auto"/>
                        <w:left w:val="none" w:sz="0" w:space="0" w:color="auto"/>
                        <w:bottom w:val="none" w:sz="0" w:space="0" w:color="auto"/>
                        <w:right w:val="none" w:sz="0" w:space="0" w:color="auto"/>
                      </w:divBdr>
                    </w:div>
                  </w:divsChild>
                </w:div>
                <w:div w:id="602032911">
                  <w:marLeft w:val="0"/>
                  <w:marRight w:val="0"/>
                  <w:marTop w:val="0"/>
                  <w:marBottom w:val="0"/>
                  <w:divBdr>
                    <w:top w:val="none" w:sz="0" w:space="0" w:color="auto"/>
                    <w:left w:val="none" w:sz="0" w:space="0" w:color="auto"/>
                    <w:bottom w:val="none" w:sz="0" w:space="0" w:color="auto"/>
                    <w:right w:val="none" w:sz="0" w:space="0" w:color="auto"/>
                  </w:divBdr>
                  <w:divsChild>
                    <w:div w:id="1438333112">
                      <w:marLeft w:val="0"/>
                      <w:marRight w:val="0"/>
                      <w:marTop w:val="0"/>
                      <w:marBottom w:val="0"/>
                      <w:divBdr>
                        <w:top w:val="none" w:sz="0" w:space="0" w:color="auto"/>
                        <w:left w:val="none" w:sz="0" w:space="0" w:color="auto"/>
                        <w:bottom w:val="none" w:sz="0" w:space="0" w:color="auto"/>
                        <w:right w:val="none" w:sz="0" w:space="0" w:color="auto"/>
                      </w:divBdr>
                    </w:div>
                    <w:div w:id="1986816015">
                      <w:marLeft w:val="0"/>
                      <w:marRight w:val="0"/>
                      <w:marTop w:val="0"/>
                      <w:marBottom w:val="0"/>
                      <w:divBdr>
                        <w:top w:val="none" w:sz="0" w:space="0" w:color="auto"/>
                        <w:left w:val="none" w:sz="0" w:space="0" w:color="auto"/>
                        <w:bottom w:val="none" w:sz="0" w:space="0" w:color="auto"/>
                        <w:right w:val="none" w:sz="0" w:space="0" w:color="auto"/>
                      </w:divBdr>
                    </w:div>
                  </w:divsChild>
                </w:div>
                <w:div w:id="951128325">
                  <w:marLeft w:val="0"/>
                  <w:marRight w:val="0"/>
                  <w:marTop w:val="0"/>
                  <w:marBottom w:val="0"/>
                  <w:divBdr>
                    <w:top w:val="none" w:sz="0" w:space="0" w:color="auto"/>
                    <w:left w:val="none" w:sz="0" w:space="0" w:color="auto"/>
                    <w:bottom w:val="none" w:sz="0" w:space="0" w:color="auto"/>
                    <w:right w:val="none" w:sz="0" w:space="0" w:color="auto"/>
                  </w:divBdr>
                  <w:divsChild>
                    <w:div w:id="202596527">
                      <w:marLeft w:val="0"/>
                      <w:marRight w:val="0"/>
                      <w:marTop w:val="0"/>
                      <w:marBottom w:val="0"/>
                      <w:divBdr>
                        <w:top w:val="none" w:sz="0" w:space="0" w:color="auto"/>
                        <w:left w:val="none" w:sz="0" w:space="0" w:color="auto"/>
                        <w:bottom w:val="none" w:sz="0" w:space="0" w:color="auto"/>
                        <w:right w:val="none" w:sz="0" w:space="0" w:color="auto"/>
                      </w:divBdr>
                    </w:div>
                  </w:divsChild>
                </w:div>
                <w:div w:id="602542081">
                  <w:marLeft w:val="0"/>
                  <w:marRight w:val="0"/>
                  <w:marTop w:val="0"/>
                  <w:marBottom w:val="0"/>
                  <w:divBdr>
                    <w:top w:val="none" w:sz="0" w:space="0" w:color="auto"/>
                    <w:left w:val="none" w:sz="0" w:space="0" w:color="auto"/>
                    <w:bottom w:val="none" w:sz="0" w:space="0" w:color="auto"/>
                    <w:right w:val="none" w:sz="0" w:space="0" w:color="auto"/>
                  </w:divBdr>
                  <w:divsChild>
                    <w:div w:id="1981416486">
                      <w:marLeft w:val="0"/>
                      <w:marRight w:val="0"/>
                      <w:marTop w:val="0"/>
                      <w:marBottom w:val="0"/>
                      <w:divBdr>
                        <w:top w:val="none" w:sz="0" w:space="0" w:color="auto"/>
                        <w:left w:val="none" w:sz="0" w:space="0" w:color="auto"/>
                        <w:bottom w:val="none" w:sz="0" w:space="0" w:color="auto"/>
                        <w:right w:val="none" w:sz="0" w:space="0" w:color="auto"/>
                      </w:divBdr>
                    </w:div>
                  </w:divsChild>
                </w:div>
                <w:div w:id="999039537">
                  <w:marLeft w:val="0"/>
                  <w:marRight w:val="0"/>
                  <w:marTop w:val="0"/>
                  <w:marBottom w:val="0"/>
                  <w:divBdr>
                    <w:top w:val="none" w:sz="0" w:space="0" w:color="auto"/>
                    <w:left w:val="none" w:sz="0" w:space="0" w:color="auto"/>
                    <w:bottom w:val="none" w:sz="0" w:space="0" w:color="auto"/>
                    <w:right w:val="none" w:sz="0" w:space="0" w:color="auto"/>
                  </w:divBdr>
                  <w:divsChild>
                    <w:div w:id="2111393419">
                      <w:marLeft w:val="0"/>
                      <w:marRight w:val="0"/>
                      <w:marTop w:val="0"/>
                      <w:marBottom w:val="0"/>
                      <w:divBdr>
                        <w:top w:val="none" w:sz="0" w:space="0" w:color="auto"/>
                        <w:left w:val="none" w:sz="0" w:space="0" w:color="auto"/>
                        <w:bottom w:val="none" w:sz="0" w:space="0" w:color="auto"/>
                        <w:right w:val="none" w:sz="0" w:space="0" w:color="auto"/>
                      </w:divBdr>
                    </w:div>
                  </w:divsChild>
                </w:div>
                <w:div w:id="552235585">
                  <w:marLeft w:val="0"/>
                  <w:marRight w:val="0"/>
                  <w:marTop w:val="0"/>
                  <w:marBottom w:val="0"/>
                  <w:divBdr>
                    <w:top w:val="none" w:sz="0" w:space="0" w:color="auto"/>
                    <w:left w:val="none" w:sz="0" w:space="0" w:color="auto"/>
                    <w:bottom w:val="none" w:sz="0" w:space="0" w:color="auto"/>
                    <w:right w:val="none" w:sz="0" w:space="0" w:color="auto"/>
                  </w:divBdr>
                  <w:divsChild>
                    <w:div w:id="866869566">
                      <w:marLeft w:val="0"/>
                      <w:marRight w:val="0"/>
                      <w:marTop w:val="0"/>
                      <w:marBottom w:val="0"/>
                      <w:divBdr>
                        <w:top w:val="none" w:sz="0" w:space="0" w:color="auto"/>
                        <w:left w:val="none" w:sz="0" w:space="0" w:color="auto"/>
                        <w:bottom w:val="none" w:sz="0" w:space="0" w:color="auto"/>
                        <w:right w:val="none" w:sz="0" w:space="0" w:color="auto"/>
                      </w:divBdr>
                    </w:div>
                  </w:divsChild>
                </w:div>
                <w:div w:id="286548165">
                  <w:marLeft w:val="0"/>
                  <w:marRight w:val="0"/>
                  <w:marTop w:val="0"/>
                  <w:marBottom w:val="0"/>
                  <w:divBdr>
                    <w:top w:val="none" w:sz="0" w:space="0" w:color="auto"/>
                    <w:left w:val="none" w:sz="0" w:space="0" w:color="auto"/>
                    <w:bottom w:val="none" w:sz="0" w:space="0" w:color="auto"/>
                    <w:right w:val="none" w:sz="0" w:space="0" w:color="auto"/>
                  </w:divBdr>
                  <w:divsChild>
                    <w:div w:id="594822466">
                      <w:marLeft w:val="0"/>
                      <w:marRight w:val="0"/>
                      <w:marTop w:val="0"/>
                      <w:marBottom w:val="0"/>
                      <w:divBdr>
                        <w:top w:val="none" w:sz="0" w:space="0" w:color="auto"/>
                        <w:left w:val="none" w:sz="0" w:space="0" w:color="auto"/>
                        <w:bottom w:val="none" w:sz="0" w:space="0" w:color="auto"/>
                        <w:right w:val="none" w:sz="0" w:space="0" w:color="auto"/>
                      </w:divBdr>
                    </w:div>
                    <w:div w:id="5937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4864">
      <w:bodyDiv w:val="1"/>
      <w:marLeft w:val="0"/>
      <w:marRight w:val="0"/>
      <w:marTop w:val="0"/>
      <w:marBottom w:val="0"/>
      <w:divBdr>
        <w:top w:val="none" w:sz="0" w:space="0" w:color="auto"/>
        <w:left w:val="none" w:sz="0" w:space="0" w:color="auto"/>
        <w:bottom w:val="none" w:sz="0" w:space="0" w:color="auto"/>
        <w:right w:val="none" w:sz="0" w:space="0" w:color="auto"/>
      </w:divBdr>
    </w:div>
    <w:div w:id="1039667544">
      <w:bodyDiv w:val="1"/>
      <w:marLeft w:val="0"/>
      <w:marRight w:val="0"/>
      <w:marTop w:val="0"/>
      <w:marBottom w:val="0"/>
      <w:divBdr>
        <w:top w:val="none" w:sz="0" w:space="0" w:color="auto"/>
        <w:left w:val="none" w:sz="0" w:space="0" w:color="auto"/>
        <w:bottom w:val="none" w:sz="0" w:space="0" w:color="auto"/>
        <w:right w:val="none" w:sz="0" w:space="0" w:color="auto"/>
      </w:divBdr>
    </w:div>
    <w:div w:id="1043485423">
      <w:bodyDiv w:val="1"/>
      <w:marLeft w:val="0"/>
      <w:marRight w:val="0"/>
      <w:marTop w:val="0"/>
      <w:marBottom w:val="0"/>
      <w:divBdr>
        <w:top w:val="none" w:sz="0" w:space="0" w:color="auto"/>
        <w:left w:val="none" w:sz="0" w:space="0" w:color="auto"/>
        <w:bottom w:val="none" w:sz="0" w:space="0" w:color="auto"/>
        <w:right w:val="none" w:sz="0" w:space="0" w:color="auto"/>
      </w:divBdr>
    </w:div>
    <w:div w:id="105369381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74">
          <w:marLeft w:val="0"/>
          <w:marRight w:val="0"/>
          <w:marTop w:val="0"/>
          <w:marBottom w:val="0"/>
          <w:divBdr>
            <w:top w:val="none" w:sz="0" w:space="0" w:color="auto"/>
            <w:left w:val="none" w:sz="0" w:space="0" w:color="auto"/>
            <w:bottom w:val="none" w:sz="0" w:space="0" w:color="auto"/>
            <w:right w:val="none" w:sz="0" w:space="0" w:color="auto"/>
          </w:divBdr>
          <w:divsChild>
            <w:div w:id="1164276983">
              <w:marLeft w:val="0"/>
              <w:marRight w:val="0"/>
              <w:marTop w:val="0"/>
              <w:marBottom w:val="0"/>
              <w:divBdr>
                <w:top w:val="none" w:sz="0" w:space="0" w:color="auto"/>
                <w:left w:val="none" w:sz="0" w:space="0" w:color="auto"/>
                <w:bottom w:val="none" w:sz="0" w:space="0" w:color="auto"/>
                <w:right w:val="none" w:sz="0" w:space="0" w:color="auto"/>
              </w:divBdr>
              <w:divsChild>
                <w:div w:id="1188911966">
                  <w:marLeft w:val="0"/>
                  <w:marRight w:val="0"/>
                  <w:marTop w:val="0"/>
                  <w:marBottom w:val="0"/>
                  <w:divBdr>
                    <w:top w:val="none" w:sz="0" w:space="0" w:color="auto"/>
                    <w:left w:val="none" w:sz="0" w:space="0" w:color="auto"/>
                    <w:bottom w:val="none" w:sz="0" w:space="0" w:color="auto"/>
                    <w:right w:val="none" w:sz="0" w:space="0" w:color="auto"/>
                  </w:divBdr>
                  <w:divsChild>
                    <w:div w:id="345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33">
      <w:bodyDiv w:val="1"/>
      <w:marLeft w:val="0"/>
      <w:marRight w:val="0"/>
      <w:marTop w:val="0"/>
      <w:marBottom w:val="0"/>
      <w:divBdr>
        <w:top w:val="none" w:sz="0" w:space="0" w:color="auto"/>
        <w:left w:val="none" w:sz="0" w:space="0" w:color="auto"/>
        <w:bottom w:val="none" w:sz="0" w:space="0" w:color="auto"/>
        <w:right w:val="none" w:sz="0" w:space="0" w:color="auto"/>
      </w:divBdr>
    </w:div>
    <w:div w:id="1171338381">
      <w:bodyDiv w:val="1"/>
      <w:marLeft w:val="0"/>
      <w:marRight w:val="0"/>
      <w:marTop w:val="0"/>
      <w:marBottom w:val="0"/>
      <w:divBdr>
        <w:top w:val="none" w:sz="0" w:space="0" w:color="auto"/>
        <w:left w:val="none" w:sz="0" w:space="0" w:color="auto"/>
        <w:bottom w:val="none" w:sz="0" w:space="0" w:color="auto"/>
        <w:right w:val="none" w:sz="0" w:space="0" w:color="auto"/>
      </w:divBdr>
    </w:div>
    <w:div w:id="1292512846">
      <w:bodyDiv w:val="1"/>
      <w:marLeft w:val="0"/>
      <w:marRight w:val="0"/>
      <w:marTop w:val="0"/>
      <w:marBottom w:val="0"/>
      <w:divBdr>
        <w:top w:val="none" w:sz="0" w:space="0" w:color="auto"/>
        <w:left w:val="none" w:sz="0" w:space="0" w:color="auto"/>
        <w:bottom w:val="none" w:sz="0" w:space="0" w:color="auto"/>
        <w:right w:val="none" w:sz="0" w:space="0" w:color="auto"/>
      </w:divBdr>
    </w:div>
    <w:div w:id="1645549363">
      <w:bodyDiv w:val="1"/>
      <w:marLeft w:val="0"/>
      <w:marRight w:val="0"/>
      <w:marTop w:val="0"/>
      <w:marBottom w:val="0"/>
      <w:divBdr>
        <w:top w:val="none" w:sz="0" w:space="0" w:color="auto"/>
        <w:left w:val="none" w:sz="0" w:space="0" w:color="auto"/>
        <w:bottom w:val="none" w:sz="0" w:space="0" w:color="auto"/>
        <w:right w:val="none" w:sz="0" w:space="0" w:color="auto"/>
      </w:divBdr>
    </w:div>
    <w:div w:id="1798328166">
      <w:bodyDiv w:val="1"/>
      <w:marLeft w:val="0"/>
      <w:marRight w:val="0"/>
      <w:marTop w:val="0"/>
      <w:marBottom w:val="0"/>
      <w:divBdr>
        <w:top w:val="none" w:sz="0" w:space="0" w:color="auto"/>
        <w:left w:val="none" w:sz="0" w:space="0" w:color="auto"/>
        <w:bottom w:val="none" w:sz="0" w:space="0" w:color="auto"/>
        <w:right w:val="none" w:sz="0" w:space="0" w:color="auto"/>
      </w:divBdr>
    </w:div>
    <w:div w:id="1803691447">
      <w:bodyDiv w:val="1"/>
      <w:marLeft w:val="0"/>
      <w:marRight w:val="0"/>
      <w:marTop w:val="0"/>
      <w:marBottom w:val="0"/>
      <w:divBdr>
        <w:top w:val="none" w:sz="0" w:space="0" w:color="auto"/>
        <w:left w:val="none" w:sz="0" w:space="0" w:color="auto"/>
        <w:bottom w:val="none" w:sz="0" w:space="0" w:color="auto"/>
        <w:right w:val="none" w:sz="0" w:space="0" w:color="auto"/>
      </w:divBdr>
    </w:div>
    <w:div w:id="18348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Lague</dc:creator>
  <cp:keywords/>
  <dc:description/>
  <cp:lastModifiedBy>Michelle A Lague</cp:lastModifiedBy>
  <cp:revision>1</cp:revision>
  <dcterms:created xsi:type="dcterms:W3CDTF">2021-06-18T20:20:00Z</dcterms:created>
  <dcterms:modified xsi:type="dcterms:W3CDTF">2021-06-18T20:26:00Z</dcterms:modified>
</cp:coreProperties>
</file>